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77566" w14:textId="77777777" w:rsidR="008E7FDD" w:rsidRPr="007D5B82" w:rsidRDefault="008E7FDD" w:rsidP="005F2EBB">
      <w:pPr>
        <w:rPr>
          <w:i/>
          <w:szCs w:val="20"/>
        </w:rPr>
      </w:pPr>
    </w:p>
    <w:p w14:paraId="19E9B522" w14:textId="77777777" w:rsidR="005F2EBB" w:rsidRPr="007D5B82" w:rsidRDefault="005F2EBB" w:rsidP="007E1C7B">
      <w:pPr>
        <w:outlineLvl w:val="0"/>
        <w:rPr>
          <w:szCs w:val="20"/>
        </w:rPr>
      </w:pPr>
      <w:r w:rsidRPr="007D5B82">
        <w:rPr>
          <w:i/>
          <w:szCs w:val="20"/>
        </w:rPr>
        <w:t>PRAXIS</w:t>
      </w:r>
      <w:r w:rsidRPr="007D5B82">
        <w:rPr>
          <w:szCs w:val="20"/>
        </w:rPr>
        <w:t xml:space="preserve"> 15: Bad Architectures</w:t>
      </w:r>
    </w:p>
    <w:p w14:paraId="35D6A481" w14:textId="77777777" w:rsidR="005F2EBB" w:rsidRPr="007D5B82" w:rsidRDefault="005F2EBB" w:rsidP="006106E2">
      <w:pPr>
        <w:rPr>
          <w:b/>
          <w:szCs w:val="20"/>
        </w:rPr>
      </w:pPr>
    </w:p>
    <w:p w14:paraId="587CEEC5" w14:textId="0F2D43BA" w:rsidR="006106E2" w:rsidRPr="007D5B82" w:rsidRDefault="008F5272" w:rsidP="007E1C7B">
      <w:pPr>
        <w:outlineLvl w:val="0"/>
        <w:rPr>
          <w:b/>
          <w:szCs w:val="20"/>
        </w:rPr>
      </w:pPr>
      <w:r w:rsidRPr="007D5B82">
        <w:rPr>
          <w:b/>
          <w:szCs w:val="20"/>
        </w:rPr>
        <w:t>Who Let the Air Out</w:t>
      </w:r>
      <w:r w:rsidR="0097775C" w:rsidRPr="007D5B82">
        <w:rPr>
          <w:b/>
          <w:szCs w:val="20"/>
        </w:rPr>
        <w:t>?</w:t>
      </w:r>
      <w:r w:rsidR="008947CC" w:rsidRPr="007D5B82">
        <w:rPr>
          <w:b/>
          <w:szCs w:val="20"/>
        </w:rPr>
        <w:t xml:space="preserve"> </w:t>
      </w:r>
      <w:r w:rsidRPr="007D5B82">
        <w:rPr>
          <w:b/>
          <w:szCs w:val="20"/>
        </w:rPr>
        <w:t>How Pneumatics Went From Rad to Bad</w:t>
      </w:r>
      <w:r w:rsidR="00920961" w:rsidRPr="007D5B82">
        <w:rPr>
          <w:b/>
          <w:szCs w:val="20"/>
        </w:rPr>
        <w:t xml:space="preserve"> in the 1970s</w:t>
      </w:r>
    </w:p>
    <w:p w14:paraId="56ACA55E" w14:textId="4BE0EEE1" w:rsidR="008F5272" w:rsidRPr="007D5B82" w:rsidRDefault="006106E2" w:rsidP="006106E2">
      <w:pPr>
        <w:rPr>
          <w:szCs w:val="20"/>
        </w:rPr>
      </w:pPr>
      <w:r w:rsidRPr="007D5B82">
        <w:rPr>
          <w:szCs w:val="20"/>
        </w:rPr>
        <w:t>b</w:t>
      </w:r>
      <w:r w:rsidR="008F5272" w:rsidRPr="007D5B82">
        <w:rPr>
          <w:szCs w:val="20"/>
        </w:rPr>
        <w:t>y Whitney Moon</w:t>
      </w:r>
    </w:p>
    <w:p w14:paraId="699A7C73" w14:textId="77777777" w:rsidR="001079D9" w:rsidRPr="007D5B82" w:rsidRDefault="001079D9" w:rsidP="006B6A46"/>
    <w:p w14:paraId="565858C7" w14:textId="77777777" w:rsidR="005F2EBB" w:rsidRPr="007D5B82" w:rsidRDefault="005F2EBB" w:rsidP="006B6A46"/>
    <w:p w14:paraId="6C6F4186" w14:textId="41138BDB" w:rsidR="0054447C" w:rsidRPr="007D5B82" w:rsidRDefault="007D1837" w:rsidP="006B6A46">
      <w:r w:rsidRPr="007D5B82">
        <w:t xml:space="preserve">The year was 1970. </w:t>
      </w:r>
      <w:proofErr w:type="spellStart"/>
      <w:r w:rsidRPr="007D5B82">
        <w:t>Kenzo</w:t>
      </w:r>
      <w:proofErr w:type="spellEnd"/>
      <w:r w:rsidRPr="007D5B82">
        <w:t xml:space="preserve"> </w:t>
      </w:r>
      <w:proofErr w:type="spellStart"/>
      <w:r w:rsidRPr="007D5B82">
        <w:t>Tange</w:t>
      </w:r>
      <w:proofErr w:type="spellEnd"/>
      <w:r w:rsidRPr="007D5B82">
        <w:t xml:space="preserve"> and </w:t>
      </w:r>
      <w:proofErr w:type="spellStart"/>
      <w:r w:rsidRPr="007D5B82">
        <w:t>Uzo</w:t>
      </w:r>
      <w:proofErr w:type="spellEnd"/>
      <w:r w:rsidRPr="007D5B82">
        <w:t xml:space="preserve"> </w:t>
      </w:r>
      <w:proofErr w:type="spellStart"/>
      <w:r w:rsidRPr="007D5B82">
        <w:t>Nishiyama’s</w:t>
      </w:r>
      <w:proofErr w:type="spellEnd"/>
      <w:r w:rsidRPr="007D5B82">
        <w:t xml:space="preserve"> World Expo in Osaka, Japan featured spectacular </w:t>
      </w:r>
      <w:r w:rsidR="00521126" w:rsidRPr="007D5B82">
        <w:t>pneumatic</w:t>
      </w:r>
      <w:r w:rsidR="007A0D20">
        <w:rPr>
          <w:szCs w:val="20"/>
        </w:rPr>
        <w:t xml:space="preserve"> </w:t>
      </w:r>
      <w:r w:rsidR="00386894" w:rsidRPr="007D5B82">
        <w:t xml:space="preserve">visions </w:t>
      </w:r>
      <w:r w:rsidR="007949CC">
        <w:t>with</w:t>
      </w:r>
      <w:r w:rsidR="00386894" w:rsidRPr="007D5B82">
        <w:t>in the long-span cable-stiffened dome of the US P</w:t>
      </w:r>
      <w:r w:rsidR="00FA730A" w:rsidRPr="007D5B82">
        <w:t xml:space="preserve">avilion, the </w:t>
      </w:r>
      <w:r w:rsidR="00F80A68" w:rsidRPr="007D5B82">
        <w:t>air-</w:t>
      </w:r>
      <w:r w:rsidR="00C22B17" w:rsidRPr="007D5B82">
        <w:t>filled</w:t>
      </w:r>
      <w:r w:rsidR="00F80A68" w:rsidRPr="007D5B82">
        <w:t xml:space="preserve"> arches of the </w:t>
      </w:r>
      <w:r w:rsidR="00FA730A" w:rsidRPr="007D5B82">
        <w:t xml:space="preserve">Fuji </w:t>
      </w:r>
      <w:r w:rsidR="00F80A68" w:rsidRPr="007D5B82">
        <w:t xml:space="preserve">Group </w:t>
      </w:r>
      <w:r w:rsidR="00FA730A" w:rsidRPr="007D5B82">
        <w:t>Pavilion,</w:t>
      </w:r>
      <w:r w:rsidR="00386894" w:rsidRPr="007D5B82">
        <w:t xml:space="preserve"> and </w:t>
      </w:r>
      <w:r w:rsidR="006A6E52" w:rsidRPr="007D5B82">
        <w:t>numerous other</w:t>
      </w:r>
      <w:r w:rsidR="00386894" w:rsidRPr="007D5B82">
        <w:t xml:space="preserve"> </w:t>
      </w:r>
      <w:r w:rsidR="00C22B17" w:rsidRPr="007D5B82">
        <w:t>inflated</w:t>
      </w:r>
      <w:r w:rsidR="006A6E52" w:rsidRPr="007D5B82">
        <w:t>, plastic</w:t>
      </w:r>
      <w:r w:rsidR="00024685">
        <w:t>,</w:t>
      </w:r>
      <w:r w:rsidR="006A6E52" w:rsidRPr="007D5B82">
        <w:t xml:space="preserve"> and</w:t>
      </w:r>
      <w:r w:rsidR="002673A6" w:rsidRPr="007D5B82">
        <w:t xml:space="preserve"> bubble-shaped </w:t>
      </w:r>
      <w:r w:rsidR="00386894" w:rsidRPr="007D5B82">
        <w:t>structures.</w:t>
      </w:r>
      <w:r w:rsidR="00220D39" w:rsidRPr="007D5B82">
        <w:rPr>
          <w:rStyle w:val="EndnoteReference"/>
        </w:rPr>
        <w:endnoteReference w:id="1"/>
      </w:r>
      <w:r w:rsidR="00386894" w:rsidRPr="007D5B82">
        <w:t xml:space="preserve"> </w:t>
      </w:r>
      <w:r w:rsidR="007949CC">
        <w:t>Simultaneously</w:t>
      </w:r>
      <w:r w:rsidR="00386894" w:rsidRPr="007D5B82">
        <w:t xml:space="preserve">, Ant Farm </w:t>
      </w:r>
      <w:r w:rsidR="00B84F92">
        <w:t xml:space="preserve">was completing </w:t>
      </w:r>
      <w:r w:rsidR="00386894" w:rsidRPr="007D5B82">
        <w:t xml:space="preserve">their </w:t>
      </w:r>
      <w:proofErr w:type="spellStart"/>
      <w:r w:rsidR="00386894" w:rsidRPr="007D5B82">
        <w:rPr>
          <w:i/>
        </w:rPr>
        <w:t>Inflatocookbook</w:t>
      </w:r>
      <w:proofErr w:type="spellEnd"/>
      <w:r w:rsidR="00386894" w:rsidRPr="007D5B82">
        <w:rPr>
          <w:i/>
        </w:rPr>
        <w:t xml:space="preserve"> </w:t>
      </w:r>
      <w:r w:rsidR="00386894" w:rsidRPr="007D5B82">
        <w:t xml:space="preserve">(1971), which </w:t>
      </w:r>
      <w:r w:rsidR="007949CC">
        <w:t>became</w:t>
      </w:r>
      <w:r w:rsidR="00386894" w:rsidRPr="007D5B82">
        <w:t xml:space="preserve"> (and has remained) the go-to do-it-yourself (DIY) manual for pneumatic experimentation</w:t>
      </w:r>
      <w:r w:rsidR="007949CC">
        <w:t>.</w:t>
      </w:r>
      <w:r w:rsidR="00386894" w:rsidRPr="007D5B82">
        <w:rPr>
          <w:rFonts w:cs="Times New Roman"/>
          <w:sz w:val="22"/>
          <w:szCs w:val="22"/>
          <w:lang w:val="en-CA"/>
        </w:rPr>
        <w:t xml:space="preserve"> </w:t>
      </w:r>
      <w:r w:rsidR="00386894" w:rsidRPr="007D5B82">
        <w:t xml:space="preserve">Cedric Price </w:t>
      </w:r>
      <w:r w:rsidR="007949CC">
        <w:t>and</w:t>
      </w:r>
      <w:r w:rsidR="00386894" w:rsidRPr="007D5B82">
        <w:t xml:space="preserve"> Frank Newby</w:t>
      </w:r>
      <w:r w:rsidR="00025A0B">
        <w:t xml:space="preserve"> </w:t>
      </w:r>
      <w:r w:rsidR="00B84F92">
        <w:t>were also finalizing</w:t>
      </w:r>
      <w:r w:rsidR="00025A0B">
        <w:t xml:space="preserve"> </w:t>
      </w:r>
      <w:r w:rsidR="00386894" w:rsidRPr="007D5B82">
        <w:rPr>
          <w:i/>
        </w:rPr>
        <w:t>Air Structures: A Survey</w:t>
      </w:r>
      <w:r w:rsidR="00386894" w:rsidRPr="007D5B82">
        <w:t xml:space="preserve"> (1971)</w:t>
      </w:r>
      <w:r w:rsidR="00386894" w:rsidRPr="007D5B82">
        <w:rPr>
          <w:i/>
        </w:rPr>
        <w:t xml:space="preserve">, </w:t>
      </w:r>
      <w:r w:rsidR="00386894" w:rsidRPr="007D5B82">
        <w:rPr>
          <w:rFonts w:cs="Times New Roman"/>
          <w:lang w:val="en-CA"/>
        </w:rPr>
        <w:t>an extensive research report covering the hi</w:t>
      </w:r>
      <w:r w:rsidR="002673A6" w:rsidRPr="007D5B82">
        <w:rPr>
          <w:rFonts w:cs="Times New Roman"/>
          <w:lang w:val="en-CA"/>
        </w:rPr>
        <w:t>story, principles, applications</w:t>
      </w:r>
      <w:r w:rsidR="00386894" w:rsidRPr="007D5B82">
        <w:rPr>
          <w:rFonts w:cs="Times New Roman"/>
          <w:lang w:val="en-CA"/>
        </w:rPr>
        <w:t xml:space="preserve"> and technical specifications for air-filled enclosures.</w:t>
      </w:r>
      <w:r w:rsidR="00C61821" w:rsidRPr="007D5B82">
        <w:t xml:space="preserve"> </w:t>
      </w:r>
      <w:r w:rsidR="008118CB" w:rsidRPr="007D5B82">
        <w:t>The year</w:t>
      </w:r>
      <w:r w:rsidR="00B84F92">
        <w:t xml:space="preserve"> 1970 </w:t>
      </w:r>
      <w:r w:rsidR="008118CB" w:rsidRPr="007D5B82">
        <w:t>also marked th</w:t>
      </w:r>
      <w:r w:rsidR="009F2692" w:rsidRPr="007D5B82">
        <w:t>e formation of Chrysalis</w:t>
      </w:r>
      <w:r w:rsidR="007949CC">
        <w:t>—</w:t>
      </w:r>
      <w:r w:rsidR="009F2692" w:rsidRPr="007D5B82">
        <w:t xml:space="preserve">a Los </w:t>
      </w:r>
      <w:r w:rsidR="008118CB" w:rsidRPr="007D5B82">
        <w:t>Angeles-based architectural collective</w:t>
      </w:r>
      <w:r w:rsidR="007949CC">
        <w:t>—</w:t>
      </w:r>
      <w:r w:rsidR="000A7C23">
        <w:t>comprised of</w:t>
      </w:r>
      <w:r w:rsidR="008118CB" w:rsidRPr="007D5B82">
        <w:t xml:space="preserve"> Mike Davies, Chris Dawson, Alan Stanton and Joseph Valerio. As M</w:t>
      </w:r>
      <w:r w:rsidR="007949CC">
        <w:t xml:space="preserve">aster of </w:t>
      </w:r>
      <w:r w:rsidR="007949CC" w:rsidRPr="007D5B82">
        <w:t>Arch</w:t>
      </w:r>
      <w:r w:rsidR="007949CC">
        <w:t>itecture (</w:t>
      </w:r>
      <w:proofErr w:type="spellStart"/>
      <w:r w:rsidR="007949CC">
        <w:t>M.Arch</w:t>
      </w:r>
      <w:proofErr w:type="spellEnd"/>
      <w:r w:rsidR="007949CC">
        <w:t>)</w:t>
      </w:r>
      <w:r w:rsidR="008118CB" w:rsidRPr="007D5B82">
        <w:t xml:space="preserve"> students at the University of California, Los Angeles</w:t>
      </w:r>
      <w:r w:rsidR="00D32CE0">
        <w:t xml:space="preserve"> (UCLA)</w:t>
      </w:r>
      <w:r w:rsidR="00386894" w:rsidRPr="007D5B82">
        <w:t xml:space="preserve">, </w:t>
      </w:r>
      <w:r w:rsidR="008118CB" w:rsidRPr="007D5B82">
        <w:t xml:space="preserve">the four </w:t>
      </w:r>
      <w:r w:rsidR="000A7C23">
        <w:t xml:space="preserve">members </w:t>
      </w:r>
      <w:r w:rsidR="008118CB" w:rsidRPr="007D5B82">
        <w:t xml:space="preserve">were committed to </w:t>
      </w:r>
      <w:r w:rsidR="000A7C23">
        <w:t xml:space="preserve">the </w:t>
      </w:r>
      <w:r w:rsidR="008118CB" w:rsidRPr="007D5B82">
        <w:t>design and constructi</w:t>
      </w:r>
      <w:r w:rsidR="000A7C23">
        <w:t>on of</w:t>
      </w:r>
      <w:r w:rsidR="008118CB" w:rsidRPr="007D5B82">
        <w:t xml:space="preserve"> experimental structures,</w:t>
      </w:r>
      <w:r w:rsidR="00C1390D">
        <w:t xml:space="preserve"> especially</w:t>
      </w:r>
      <w:r w:rsidR="008118CB" w:rsidRPr="007D5B82">
        <w:t xml:space="preserve"> with a penchant for anything pneumatic.</w:t>
      </w:r>
      <w:r w:rsidR="00C22B17" w:rsidRPr="007D5B82">
        <w:rPr>
          <w:rStyle w:val="EndnoteReference"/>
          <w:szCs w:val="20"/>
        </w:rPr>
        <w:endnoteReference w:id="2"/>
      </w:r>
      <w:r w:rsidR="00C22B17" w:rsidRPr="007D5B82">
        <w:rPr>
          <w:szCs w:val="20"/>
        </w:rPr>
        <w:t xml:space="preserve"> </w:t>
      </w:r>
    </w:p>
    <w:p w14:paraId="22CD1082" w14:textId="77777777" w:rsidR="0054447C" w:rsidRPr="007D5B82" w:rsidRDefault="0054447C" w:rsidP="006B6A46"/>
    <w:p w14:paraId="0942858A" w14:textId="45BCFB96" w:rsidR="00EF4AAC" w:rsidRPr="007D5B82" w:rsidRDefault="005701F7" w:rsidP="0054447C">
      <w:r>
        <w:t xml:space="preserve">In 1970, </w:t>
      </w:r>
      <w:r w:rsidR="004A6248">
        <w:t xml:space="preserve">Chrysalis </w:t>
      </w:r>
      <w:r>
        <w:t xml:space="preserve">headed to the desert. </w:t>
      </w:r>
      <w:r w:rsidR="00C1390D">
        <w:t>U</w:t>
      </w:r>
      <w:r>
        <w:t xml:space="preserve">nlike their countercultural peers, who were fascinated by the barren landscape as an unchartered terrain for aesthetic and rhetorical exploration, </w:t>
      </w:r>
      <w:r w:rsidR="004A6248">
        <w:t>they</w:t>
      </w:r>
      <w:r w:rsidR="006E01CA">
        <w:t xml:space="preserve"> </w:t>
      </w:r>
      <w:r w:rsidR="00335A4A">
        <w:t xml:space="preserve">initially </w:t>
      </w:r>
      <w:r w:rsidR="006E01CA">
        <w:t>employed the extreme environment as a method for advancing both the technical and social project of pneumatic structures</w:t>
      </w:r>
      <w:r w:rsidR="0006671C">
        <w:t xml:space="preserve"> </w:t>
      </w:r>
      <w:r w:rsidR="0006671C" w:rsidRPr="007D5B82">
        <w:rPr>
          <w:b/>
        </w:rPr>
        <w:t>(Fig. 1)</w:t>
      </w:r>
      <w:r w:rsidR="0006671C" w:rsidRPr="007D5B82">
        <w:t>.</w:t>
      </w:r>
      <w:r w:rsidR="0006671C" w:rsidRPr="007D5B82">
        <w:rPr>
          <w:rStyle w:val="EndnoteReference"/>
          <w:szCs w:val="20"/>
        </w:rPr>
        <w:endnoteReference w:id="3"/>
      </w:r>
      <w:r w:rsidR="006E01CA">
        <w:t xml:space="preserve"> It was </w:t>
      </w:r>
      <w:r w:rsidR="00DD0B28">
        <w:t xml:space="preserve">in Palm Desert, California </w:t>
      </w:r>
      <w:r w:rsidR="009C5D24">
        <w:t xml:space="preserve">that </w:t>
      </w:r>
      <w:r w:rsidR="004A6248">
        <w:t>Chrysalis</w:t>
      </w:r>
      <w:r w:rsidR="006E01CA">
        <w:t xml:space="preserve"> tested the thermal performance of various materials and inflated assemblies, calling into question issues of durability and human comfort</w:t>
      </w:r>
      <w:r w:rsidR="0006671C">
        <w:t>.</w:t>
      </w:r>
      <w:r w:rsidR="006E01CA">
        <w:t xml:space="preserve"> </w:t>
      </w:r>
      <w:r w:rsidR="001A461D">
        <w:t xml:space="preserve">In the course of just a few years, they designed and executed dozens of innovative projects. </w:t>
      </w:r>
      <w:r w:rsidR="0054447C" w:rsidRPr="007D5B82">
        <w:t>Developed in collabora</w:t>
      </w:r>
      <w:r w:rsidR="005D16B5" w:rsidRPr="007D5B82">
        <w:t>tion with local aerospace, film</w:t>
      </w:r>
      <w:r w:rsidR="007E1C7B">
        <w:t>,</w:t>
      </w:r>
      <w:r w:rsidR="0054447C" w:rsidRPr="007D5B82">
        <w:t xml:space="preserve"> and media companies, </w:t>
      </w:r>
      <w:r w:rsidR="009C5D24">
        <w:t>Chrysalis’</w:t>
      </w:r>
      <w:r w:rsidR="009C5D24" w:rsidRPr="007D5B82">
        <w:t xml:space="preserve"> </w:t>
      </w:r>
      <w:r w:rsidR="0054447C" w:rsidRPr="007D5B82">
        <w:t xml:space="preserve">early works eclipsed the low-tech naiveté of </w:t>
      </w:r>
      <w:r w:rsidR="0077027A">
        <w:t>pneumatics</w:t>
      </w:r>
      <w:r w:rsidR="0077027A" w:rsidRPr="007D5B82">
        <w:t xml:space="preserve"> </w:t>
      </w:r>
      <w:r w:rsidR="0054447C" w:rsidRPr="007D5B82">
        <w:t xml:space="preserve">being generated by many of their contemporaries (e.g., Ant Farm, </w:t>
      </w:r>
      <w:proofErr w:type="spellStart"/>
      <w:r w:rsidR="0054447C" w:rsidRPr="007D5B82">
        <w:t>Archigram</w:t>
      </w:r>
      <w:proofErr w:type="spellEnd"/>
      <w:r w:rsidR="0054447C" w:rsidRPr="007D5B82">
        <w:t xml:space="preserve">, </w:t>
      </w:r>
      <w:proofErr w:type="spellStart"/>
      <w:r w:rsidR="0054447C" w:rsidRPr="007D5B82">
        <w:t>Haus</w:t>
      </w:r>
      <w:proofErr w:type="spellEnd"/>
      <w:r w:rsidR="0054447C" w:rsidRPr="007D5B82">
        <w:t xml:space="preserve">-Rucker Co., Coop </w:t>
      </w:r>
      <w:proofErr w:type="spellStart"/>
      <w:r w:rsidR="0054447C" w:rsidRPr="007D5B82">
        <w:t>Himmelb</w:t>
      </w:r>
      <w:proofErr w:type="spellEnd"/>
      <w:r w:rsidR="0054447C" w:rsidRPr="007D5B82">
        <w:t xml:space="preserve">(l)au, etc.), and were guided </w:t>
      </w:r>
      <w:r w:rsidR="007E1C7B">
        <w:t xml:space="preserve">instead </w:t>
      </w:r>
      <w:r w:rsidR="0054447C" w:rsidRPr="007D5B82">
        <w:t xml:space="preserve">by the refined structural and material experimentation of lightweight engineers </w:t>
      </w:r>
      <w:r w:rsidR="00114568" w:rsidRPr="007D5B82">
        <w:t xml:space="preserve">like </w:t>
      </w:r>
      <w:r w:rsidR="0054447C" w:rsidRPr="007D5B82">
        <w:t xml:space="preserve">Frei Otto and </w:t>
      </w:r>
      <w:r w:rsidR="0076497F">
        <w:t xml:space="preserve">R. </w:t>
      </w:r>
      <w:r w:rsidR="0054447C" w:rsidRPr="007D5B82">
        <w:t>Buckminster Fuller.</w:t>
      </w:r>
      <w:r w:rsidR="0077027A" w:rsidRPr="007D5B82">
        <w:rPr>
          <w:rStyle w:val="EndnoteReference"/>
          <w:szCs w:val="20"/>
        </w:rPr>
        <w:endnoteReference w:id="4"/>
      </w:r>
      <w:r w:rsidR="0077027A" w:rsidRPr="007D5B82">
        <w:t xml:space="preserve"> </w:t>
      </w:r>
      <w:r w:rsidR="00C22B17" w:rsidRPr="007D5B82">
        <w:t xml:space="preserve"> </w:t>
      </w:r>
    </w:p>
    <w:p w14:paraId="052492B9" w14:textId="77777777" w:rsidR="00EF4AAC" w:rsidRPr="007D5B82" w:rsidRDefault="00EF4AAC" w:rsidP="0054447C"/>
    <w:p w14:paraId="2EF75E9F" w14:textId="7AF28403" w:rsidR="0054447C" w:rsidRPr="007D5B82" w:rsidRDefault="0054447C" w:rsidP="0054447C">
      <w:r w:rsidRPr="007D5B82">
        <w:t xml:space="preserve">Although little has been written about their practice, Chrysalis occupies a key position in the history of </w:t>
      </w:r>
      <w:r w:rsidR="00EF4AAC" w:rsidRPr="007D5B82">
        <w:t>inflatable architecture</w:t>
      </w:r>
      <w:r w:rsidRPr="007D5B82">
        <w:t xml:space="preserve">. </w:t>
      </w:r>
      <w:r w:rsidR="00CF7BF1">
        <w:t>T</w:t>
      </w:r>
      <w:r w:rsidRPr="007D5B82">
        <w:t xml:space="preserve">heir </w:t>
      </w:r>
      <w:r w:rsidR="00B15AF4">
        <w:t>pioneering</w:t>
      </w:r>
      <w:r w:rsidRPr="007D5B82">
        <w:t xml:space="preserve"> constructions index </w:t>
      </w:r>
      <w:r w:rsidR="00E811E5">
        <w:t xml:space="preserve">a few </w:t>
      </w:r>
      <w:r w:rsidR="00CF7BF1">
        <w:t>key ideas</w:t>
      </w:r>
      <w:r w:rsidR="006A04D7">
        <w:t xml:space="preserve"> and </w:t>
      </w:r>
      <w:r w:rsidR="00CF7BF1">
        <w:t>phenomena</w:t>
      </w:r>
      <w:r w:rsidR="00943C73">
        <w:t>:</w:t>
      </w:r>
      <w:r w:rsidRPr="007D5B82">
        <w:t xml:space="preserve"> the rise of pneumatics as a radical project during the late 1960s and early 70s</w:t>
      </w:r>
      <w:r w:rsidR="00817097">
        <w:t>,</w:t>
      </w:r>
      <w:r w:rsidRPr="007D5B82">
        <w:t xml:space="preserve"> the viability (and promise) of air structures as an alternative solution to conventional buildings</w:t>
      </w:r>
      <w:r w:rsidR="00817097">
        <w:t>,</w:t>
      </w:r>
      <w:r w:rsidRPr="007D5B82">
        <w:t xml:space="preserve"> and the fact</w:t>
      </w:r>
      <w:r w:rsidR="0025045D" w:rsidRPr="007D5B82">
        <w:t>ors which likely l</w:t>
      </w:r>
      <w:r w:rsidRPr="007D5B82">
        <w:t xml:space="preserve">ed to the </w:t>
      </w:r>
      <w:r w:rsidR="00F63714" w:rsidRPr="007D5B82">
        <w:lastRenderedPageBreak/>
        <w:t>collapse</w:t>
      </w:r>
      <w:r w:rsidRPr="007D5B82">
        <w:t xml:space="preserve"> of inflatables by the mid 1970s. </w:t>
      </w:r>
      <w:r w:rsidR="00CF7BF1">
        <w:t>By</w:t>
      </w:r>
      <w:r w:rsidR="00EF4AAC" w:rsidRPr="007D5B82">
        <w:t xml:space="preserve"> examini</w:t>
      </w:r>
      <w:r w:rsidR="00CF7BF1">
        <w:t xml:space="preserve">ng </w:t>
      </w:r>
      <w:r w:rsidR="00EF4AAC" w:rsidRPr="007D5B82">
        <w:t xml:space="preserve">a selection of experimental structures generated by Chrysalis from 1970-1975—including </w:t>
      </w:r>
      <w:r w:rsidR="00CF7BF1">
        <w:t>those</w:t>
      </w:r>
      <w:r w:rsidR="00EF4AAC" w:rsidRPr="007D5B82">
        <w:t xml:space="preserve"> that prompted their initial formation—this essay maps their contributions to the development of pneumatic architecture as both a </w:t>
      </w:r>
      <w:r w:rsidR="002D6AD3" w:rsidRPr="007D5B82">
        <w:t>radical</w:t>
      </w:r>
      <w:r w:rsidR="00EF4AAC" w:rsidRPr="007D5B82">
        <w:t xml:space="preserve"> and pragmatic endeavor. </w:t>
      </w:r>
      <w:r w:rsidR="004C71E1">
        <w:t>Through their</w:t>
      </w:r>
      <w:r w:rsidR="004C71E1" w:rsidRPr="007D5B82">
        <w:t xml:space="preserve"> </w:t>
      </w:r>
      <w:r w:rsidR="00EF4AAC" w:rsidRPr="007D5B82">
        <w:t>work with air, this collective of four young architects made visible the</w:t>
      </w:r>
      <w:r w:rsidR="002D6AD3" w:rsidRPr="007D5B82">
        <w:t xml:space="preserve"> potential and pitfalls of a</w:t>
      </w:r>
      <w:r w:rsidR="009C5D24">
        <w:t>n unorthodox</w:t>
      </w:r>
      <w:r w:rsidR="009C5D24" w:rsidRPr="007D5B82">
        <w:t xml:space="preserve"> </w:t>
      </w:r>
      <w:r w:rsidR="002D6AD3" w:rsidRPr="007D5B82">
        <w:t>construction type.</w:t>
      </w:r>
    </w:p>
    <w:p w14:paraId="5F30445D" w14:textId="0331A67F" w:rsidR="006B6A46" w:rsidRPr="007D5B82" w:rsidRDefault="006B6A46" w:rsidP="006B6A46"/>
    <w:p w14:paraId="5FD8FB3A" w14:textId="77777777" w:rsidR="00183406" w:rsidRPr="007D5B82" w:rsidRDefault="00183406" w:rsidP="003453C8">
      <w:pPr>
        <w:rPr>
          <w:b/>
        </w:rPr>
      </w:pPr>
    </w:p>
    <w:p w14:paraId="03971CBE" w14:textId="3F276A4E" w:rsidR="00BE2A50" w:rsidRPr="007D5B82" w:rsidRDefault="00274BA6" w:rsidP="007E1C7B">
      <w:pPr>
        <w:outlineLvl w:val="0"/>
      </w:pPr>
      <w:r w:rsidRPr="007D5B82">
        <w:rPr>
          <w:b/>
        </w:rPr>
        <w:t>“Rad”</w:t>
      </w:r>
    </w:p>
    <w:p w14:paraId="40530CB6" w14:textId="77777777" w:rsidR="00582C7B" w:rsidRPr="007D5B82" w:rsidRDefault="00582C7B" w:rsidP="00582C7B"/>
    <w:p w14:paraId="673CF8A3" w14:textId="0A37257D" w:rsidR="00582C7B" w:rsidRPr="007D5B82" w:rsidRDefault="00582C7B" w:rsidP="00582C7B">
      <w:r w:rsidRPr="007D5B82">
        <w:t>Coopted by the “counterculture” in the 1960s,</w:t>
      </w:r>
      <w:r w:rsidR="00A961BD" w:rsidRPr="007D5B82">
        <w:rPr>
          <w:rStyle w:val="EndnoteReference"/>
        </w:rPr>
        <w:t xml:space="preserve"> </w:t>
      </w:r>
      <w:r w:rsidRPr="007D5B82">
        <w:t xml:space="preserve">pneumatics became the </w:t>
      </w:r>
      <w:r w:rsidR="00D65078">
        <w:t xml:space="preserve">device </w:t>
      </w:r>
      <w:r w:rsidRPr="007D5B82">
        <w:t xml:space="preserve">for avoiding the formal, material and ideological constraints of </w:t>
      </w:r>
      <w:r w:rsidR="00A961BD" w:rsidRPr="007D5B82">
        <w:t>architectural</w:t>
      </w:r>
      <w:r w:rsidRPr="007D5B82">
        <w:t xml:space="preserve"> modernism.</w:t>
      </w:r>
      <w:r w:rsidRPr="007D5B82">
        <w:rPr>
          <w:rStyle w:val="EndnoteReference"/>
        </w:rPr>
        <w:endnoteReference w:id="5"/>
      </w:r>
      <w:r w:rsidRPr="007D5B82">
        <w:t xml:space="preserve"> </w:t>
      </w:r>
      <w:r w:rsidR="00934CA4" w:rsidRPr="007D5B82">
        <w:t>Capitalized</w:t>
      </w:r>
      <w:r w:rsidRPr="007D5B82">
        <w:t xml:space="preserve"> on the allure and availability of plastics, air </w:t>
      </w:r>
      <w:r w:rsidR="00EB71C0">
        <w:t>w</w:t>
      </w:r>
      <w:r w:rsidRPr="007D5B82">
        <w:t xml:space="preserve">as the “rad” alternative to the establishment’s “bad” buildings. </w:t>
      </w:r>
      <w:r w:rsidR="00A961BD" w:rsidRPr="007D5B82">
        <w:t>In addition to offering</w:t>
      </w:r>
      <w:r w:rsidRPr="007D5B82">
        <w:t xml:space="preserve"> alternative </w:t>
      </w:r>
      <w:r w:rsidR="00A961BD" w:rsidRPr="007D5B82">
        <w:t>methods</w:t>
      </w:r>
      <w:r w:rsidRPr="007D5B82">
        <w:t xml:space="preserve"> of </w:t>
      </w:r>
      <w:r w:rsidR="00EB71C0">
        <w:t xml:space="preserve">spatial </w:t>
      </w:r>
      <w:r w:rsidRPr="007D5B82">
        <w:t>constructi</w:t>
      </w:r>
      <w:r w:rsidR="00EB71C0">
        <w:t>on</w:t>
      </w:r>
      <w:r w:rsidRPr="007D5B82">
        <w:t xml:space="preserve"> and experienc</w:t>
      </w:r>
      <w:r w:rsidR="00EB71C0">
        <w:t>es</w:t>
      </w:r>
      <w:r w:rsidR="00A961BD" w:rsidRPr="007D5B82">
        <w:t>, inflatables</w:t>
      </w:r>
      <w:r w:rsidRPr="007D5B82">
        <w:t xml:space="preserve"> introduce</w:t>
      </w:r>
      <w:r w:rsidR="00A961BD" w:rsidRPr="007D5B82">
        <w:t>d</w:t>
      </w:r>
      <w:r w:rsidRPr="007D5B82">
        <w:t xml:space="preserve"> an alluring temporality to an industry that has historically opted to monumentalize rather than </w:t>
      </w:r>
      <w:proofErr w:type="spellStart"/>
      <w:r w:rsidRPr="007D5B82">
        <w:t>ephemeralize</w:t>
      </w:r>
      <w:proofErr w:type="spellEnd"/>
      <w:r w:rsidRPr="007D5B82">
        <w:t>.</w:t>
      </w:r>
      <w:r w:rsidR="004F4960">
        <w:rPr>
          <w:rStyle w:val="EndnoteReference"/>
        </w:rPr>
        <w:endnoteReference w:id="6"/>
      </w:r>
      <w:r w:rsidRPr="007D5B82">
        <w:t xml:space="preserve"> </w:t>
      </w:r>
      <w:r w:rsidRPr="007D5B82">
        <w:rPr>
          <w:rFonts w:cs="Verdana"/>
        </w:rPr>
        <w:t xml:space="preserve">Through </w:t>
      </w:r>
      <w:r w:rsidR="00A961BD" w:rsidRPr="007D5B82">
        <w:rPr>
          <w:rFonts w:cs="Verdana"/>
        </w:rPr>
        <w:t xml:space="preserve">their </w:t>
      </w:r>
      <w:r w:rsidR="00BA0AB5" w:rsidRPr="007D5B82">
        <w:rPr>
          <w:rFonts w:cs="Verdana"/>
        </w:rPr>
        <w:t xml:space="preserve">plasticity and </w:t>
      </w:r>
      <w:r w:rsidRPr="007D5B82">
        <w:rPr>
          <w:rFonts w:cs="Verdana"/>
        </w:rPr>
        <w:t xml:space="preserve">perceived impermanence, architectural inflatables also </w:t>
      </w:r>
      <w:r w:rsidRPr="007D5B82">
        <w:t xml:space="preserve">avoided the aestheticized iconography of a modernism tarnished by failed utopias. </w:t>
      </w:r>
    </w:p>
    <w:p w14:paraId="05B45D8A" w14:textId="77777777" w:rsidR="00B15AF4" w:rsidRDefault="00B15AF4" w:rsidP="00582C7B"/>
    <w:p w14:paraId="1C67B340" w14:textId="5D1880D6" w:rsidR="00582C7B" w:rsidRPr="007D5B82" w:rsidRDefault="00582C7B" w:rsidP="00582C7B">
      <w:r w:rsidRPr="007E1EA8">
        <w:t xml:space="preserve">According to </w:t>
      </w:r>
      <w:r w:rsidR="00D65078" w:rsidRPr="007E1EA8">
        <w:t xml:space="preserve">Cedric </w:t>
      </w:r>
      <w:r w:rsidRPr="007E1EA8">
        <w:t xml:space="preserve">Price, </w:t>
      </w:r>
      <w:r w:rsidR="00007E51" w:rsidRPr="007E1EA8">
        <w:t xml:space="preserve">an advocate for architectural lightness and </w:t>
      </w:r>
      <w:r w:rsidRPr="007E1EA8">
        <w:t>a leading figure in the research and development of pneumatic</w:t>
      </w:r>
      <w:r w:rsidR="00DF7FFD" w:rsidRPr="007E1EA8">
        <w:t>s</w:t>
      </w:r>
      <w:r w:rsidRPr="007E1EA8">
        <w:t xml:space="preserve">, </w:t>
      </w:r>
      <w:r w:rsidRPr="007E1EA8">
        <w:rPr>
          <w:rFonts w:cs="Times New Roman"/>
        </w:rPr>
        <w:t>“The value of permanence must be proven not merely assumed.”</w:t>
      </w:r>
      <w:r w:rsidRPr="007E1EA8">
        <w:rPr>
          <w:rStyle w:val="EndnoteReference"/>
          <w:rFonts w:cs="Times New Roman"/>
          <w:szCs w:val="20"/>
        </w:rPr>
        <w:endnoteReference w:id="7"/>
      </w:r>
      <w:r w:rsidRPr="007E1EA8">
        <w:rPr>
          <w:rFonts w:cs="Times New Roman"/>
        </w:rPr>
        <w:t xml:space="preserve"> </w:t>
      </w:r>
      <w:r w:rsidR="00A735C1" w:rsidRPr="007E1EA8">
        <w:rPr>
          <w:rFonts w:cs="Times New Roman"/>
        </w:rPr>
        <w:t xml:space="preserve">Price’s </w:t>
      </w:r>
      <w:r w:rsidR="001A2F4E" w:rsidRPr="007E1EA8">
        <w:rPr>
          <w:rFonts w:cs="Times New Roman"/>
        </w:rPr>
        <w:t xml:space="preserve">question </w:t>
      </w:r>
      <w:r w:rsidR="00A735C1" w:rsidRPr="007E1EA8">
        <w:rPr>
          <w:rFonts w:cs="Times New Roman"/>
        </w:rPr>
        <w:t xml:space="preserve">of permanence </w:t>
      </w:r>
      <w:r w:rsidR="007E1EA8" w:rsidRPr="007E1EA8">
        <w:rPr>
          <w:rFonts w:cs="Times New Roman"/>
        </w:rPr>
        <w:t xml:space="preserve">within the pages of </w:t>
      </w:r>
      <w:proofErr w:type="spellStart"/>
      <w:r w:rsidR="00A735C1" w:rsidRPr="007E1EA8">
        <w:rPr>
          <w:i/>
        </w:rPr>
        <w:t>Archigram</w:t>
      </w:r>
      <w:r w:rsidR="00A735C1" w:rsidRPr="007E1EA8">
        <w:t>’s</w:t>
      </w:r>
      <w:proofErr w:type="spellEnd"/>
      <w:r w:rsidR="00A735C1" w:rsidRPr="007E1EA8">
        <w:t xml:space="preserve"> </w:t>
      </w:r>
      <w:r w:rsidR="00A735C1" w:rsidRPr="007E1EA8">
        <w:rPr>
          <w:rFonts w:cs="Times New Roman"/>
        </w:rPr>
        <w:t>third issue</w:t>
      </w:r>
      <w:r w:rsidR="007E1EA8">
        <w:t>—</w:t>
      </w:r>
      <w:r w:rsidR="00A735C1" w:rsidRPr="007E1EA8">
        <w:t xml:space="preserve">entitled </w:t>
      </w:r>
      <w:r w:rsidR="00A735C1" w:rsidRPr="007E1EA8">
        <w:rPr>
          <w:i/>
        </w:rPr>
        <w:t xml:space="preserve">Expendability: Towards Throwaway Architecture </w:t>
      </w:r>
      <w:r w:rsidR="00A735C1" w:rsidRPr="007E1EA8">
        <w:t>(1963)</w:t>
      </w:r>
      <w:r w:rsidR="007E1EA8">
        <w:t>—</w:t>
      </w:r>
      <w:r w:rsidRPr="007E1EA8">
        <w:t>called attention to the emerging ubiquity of disposable products in contemporary culture, and how this trend might be informing architectural production.</w:t>
      </w:r>
      <w:r w:rsidRPr="007E1EA8">
        <w:rPr>
          <w:rStyle w:val="EndnoteReference"/>
          <w:szCs w:val="20"/>
        </w:rPr>
        <w:endnoteReference w:id="8"/>
      </w:r>
      <w:r w:rsidRPr="007E1EA8">
        <w:t xml:space="preserve"> </w:t>
      </w:r>
      <w:r w:rsidR="003C3018" w:rsidRPr="007E1EA8">
        <w:t>What these emergent types shared was a conceptual and material quest for lightness, fueled by a radical rethinking of what architecture could be.</w:t>
      </w:r>
      <w:r w:rsidR="003C3018">
        <w:t xml:space="preserve"> </w:t>
      </w:r>
      <w:r w:rsidRPr="007E1EA8">
        <w:t xml:space="preserve">This shift </w:t>
      </w:r>
      <w:r w:rsidR="00F17C70" w:rsidRPr="007E1EA8">
        <w:t xml:space="preserve">towards </w:t>
      </w:r>
      <w:r w:rsidR="00EC7955" w:rsidRPr="007E1EA8">
        <w:t>ephemerality</w:t>
      </w:r>
      <w:r w:rsidR="00F17C70" w:rsidRPr="007E1EA8">
        <w:t xml:space="preserve"> </w:t>
      </w:r>
      <w:r w:rsidRPr="007E1EA8">
        <w:t xml:space="preserve">in the mid to late </w:t>
      </w:r>
      <w:r w:rsidR="005A3093" w:rsidRPr="007E1EA8">
        <w:t>19</w:t>
      </w:r>
      <w:r w:rsidRPr="007E1EA8">
        <w:t xml:space="preserve">60s exposed the discipline to new possibilities of performance, both technical and social. Building upon the recently established architectural terms </w:t>
      </w:r>
      <w:r w:rsidR="00716EF8" w:rsidRPr="007E1EA8">
        <w:t xml:space="preserve"> ‘clip-on,’ ‘capsules,’ ‘pods</w:t>
      </w:r>
      <w:r w:rsidRPr="007E1EA8">
        <w:t>’ and ‘plug-ins,’ novel architectures mirrored a pop-cultural fascination with not</w:t>
      </w:r>
      <w:r w:rsidR="00716EF8" w:rsidRPr="007E1EA8">
        <w:t>ions of mobility, instantaneity</w:t>
      </w:r>
      <w:r w:rsidR="00966511" w:rsidRPr="007E1EA8">
        <w:t>,</w:t>
      </w:r>
      <w:r w:rsidRPr="007E1EA8">
        <w:t xml:space="preserve"> and scalability. </w:t>
      </w:r>
    </w:p>
    <w:p w14:paraId="51545074" w14:textId="77777777" w:rsidR="00582C7B" w:rsidRPr="007D5B82" w:rsidRDefault="00582C7B" w:rsidP="00582C7B"/>
    <w:p w14:paraId="23D37506" w14:textId="0F12A9B6" w:rsidR="00582C7B" w:rsidRPr="007D5B82" w:rsidRDefault="00582C7B" w:rsidP="00D923E2">
      <w:pPr>
        <w:rPr>
          <w:szCs w:val="20"/>
        </w:rPr>
      </w:pPr>
      <w:r w:rsidRPr="007D5B82">
        <w:rPr>
          <w:szCs w:val="20"/>
        </w:rPr>
        <w:t xml:space="preserve">As a means to counteract the </w:t>
      </w:r>
      <w:r w:rsidR="009E446C" w:rsidRPr="007D5B82">
        <w:rPr>
          <w:szCs w:val="20"/>
        </w:rPr>
        <w:t>conventions, styles</w:t>
      </w:r>
      <w:r w:rsidR="00966511">
        <w:rPr>
          <w:szCs w:val="20"/>
        </w:rPr>
        <w:t>,</w:t>
      </w:r>
      <w:r w:rsidR="009E446C" w:rsidRPr="007D5B82">
        <w:rPr>
          <w:szCs w:val="20"/>
        </w:rPr>
        <w:t xml:space="preserve"> and rules dictated by traditional definitions of architecture</w:t>
      </w:r>
      <w:r w:rsidRPr="007D5B82">
        <w:rPr>
          <w:szCs w:val="20"/>
        </w:rPr>
        <w:t>, Peter Cook—</w:t>
      </w:r>
      <w:r w:rsidR="009E446C" w:rsidRPr="007D5B82">
        <w:rPr>
          <w:szCs w:val="20"/>
        </w:rPr>
        <w:t xml:space="preserve">a </w:t>
      </w:r>
      <w:r w:rsidRPr="007D5B82">
        <w:rPr>
          <w:szCs w:val="20"/>
        </w:rPr>
        <w:t xml:space="preserve">founding member of </w:t>
      </w:r>
      <w:proofErr w:type="spellStart"/>
      <w:r w:rsidRPr="007D5B82">
        <w:rPr>
          <w:szCs w:val="20"/>
        </w:rPr>
        <w:t>Archigram</w:t>
      </w:r>
      <w:proofErr w:type="spellEnd"/>
      <w:r w:rsidRPr="007D5B82">
        <w:rPr>
          <w:szCs w:val="20"/>
        </w:rPr>
        <w:t xml:space="preserve">—offered insight into a way out of this conundrum. In his book </w:t>
      </w:r>
      <w:r w:rsidRPr="007D5B82">
        <w:rPr>
          <w:i/>
          <w:szCs w:val="20"/>
        </w:rPr>
        <w:t xml:space="preserve">Experimental Architecture </w:t>
      </w:r>
      <w:r w:rsidRPr="007D5B82">
        <w:rPr>
          <w:szCs w:val="20"/>
        </w:rPr>
        <w:t xml:space="preserve">(1970) </w:t>
      </w:r>
      <w:r w:rsidR="00966511">
        <w:rPr>
          <w:szCs w:val="20"/>
        </w:rPr>
        <w:t xml:space="preserve">Cook </w:t>
      </w:r>
      <w:r w:rsidRPr="007D5B82">
        <w:rPr>
          <w:szCs w:val="20"/>
        </w:rPr>
        <w:t>writes, “Experimental work frequently finds its grit and inspiration in the desire to undermine and explode all rival positions.”</w:t>
      </w:r>
      <w:r w:rsidRPr="007D5B82">
        <w:rPr>
          <w:rStyle w:val="EndnoteReference"/>
          <w:rFonts w:cs="Helvetica"/>
          <w:szCs w:val="20"/>
        </w:rPr>
        <w:endnoteReference w:id="9"/>
      </w:r>
      <w:r w:rsidRPr="007D5B82">
        <w:rPr>
          <w:szCs w:val="20"/>
        </w:rPr>
        <w:t xml:space="preserve"> Fed up with what he referred to as “decrepit technologies propped-up by an elitist aesthetic language,” Cook proposed an alternative solution for the next generation of aspiring architects: “to </w:t>
      </w:r>
      <w:r w:rsidRPr="007D5B82">
        <w:rPr>
          <w:i/>
          <w:szCs w:val="20"/>
        </w:rPr>
        <w:t>experiment out of architecture.”</w:t>
      </w:r>
      <w:r w:rsidRPr="007D5B82">
        <w:rPr>
          <w:rStyle w:val="EndnoteReference"/>
          <w:rFonts w:cs="Helvetica"/>
          <w:szCs w:val="20"/>
        </w:rPr>
        <w:endnoteReference w:id="10"/>
      </w:r>
      <w:r w:rsidRPr="007D5B82">
        <w:rPr>
          <w:szCs w:val="20"/>
        </w:rPr>
        <w:t xml:space="preserve"> </w:t>
      </w:r>
      <w:r w:rsidRPr="007D5B82">
        <w:rPr>
          <w:szCs w:val="20"/>
        </w:rPr>
        <w:lastRenderedPageBreak/>
        <w:t xml:space="preserve">By encouraging the development of architecture beyond (and even against) buildings, Cook </w:t>
      </w:r>
      <w:r w:rsidR="009E446C" w:rsidRPr="007D5B82">
        <w:rPr>
          <w:szCs w:val="20"/>
        </w:rPr>
        <w:t xml:space="preserve">released a </w:t>
      </w:r>
      <w:r w:rsidR="00A42730" w:rsidRPr="007D5B82">
        <w:rPr>
          <w:szCs w:val="20"/>
        </w:rPr>
        <w:t>new</w:t>
      </w:r>
      <w:r w:rsidR="009E446C" w:rsidRPr="007D5B82">
        <w:rPr>
          <w:szCs w:val="20"/>
        </w:rPr>
        <w:t xml:space="preserve"> generation of architects from the shackles of professional and disciplinary protocols. </w:t>
      </w:r>
      <w:r w:rsidR="00365DB8" w:rsidRPr="007D5B82">
        <w:rPr>
          <w:szCs w:val="20"/>
        </w:rPr>
        <w:t>Yet, Cook’s message was also problematic: it suggested an antagonistic relationship towards architecture as buildings, prompting many young practices to pursue their radical ideas exclusively through representation and rhetoric, rather than actualized constructions.</w:t>
      </w:r>
    </w:p>
    <w:p w14:paraId="62E28AD2" w14:textId="77777777" w:rsidR="00365DB8" w:rsidRPr="007D5B82" w:rsidRDefault="00365DB8" w:rsidP="00D923E2"/>
    <w:p w14:paraId="63FF7740" w14:textId="12398306" w:rsidR="00D923E2" w:rsidRPr="007D5B82" w:rsidRDefault="00E0680C" w:rsidP="00D923E2">
      <w:r>
        <w:t xml:space="preserve">Pneumatics provided an answer to Cook’s call for looking past “decrepit technologies” and a move “out of architecture,” without retreating to drawing. </w:t>
      </w:r>
      <w:r w:rsidRPr="006E31B6">
        <w:t>They were constructions that were not buildings with a capital b.</w:t>
      </w:r>
      <w:r>
        <w:t xml:space="preserve"> </w:t>
      </w:r>
      <w:r w:rsidR="00D923E2" w:rsidRPr="007D5B82">
        <w:t xml:space="preserve">As </w:t>
      </w:r>
      <w:proofErr w:type="spellStart"/>
      <w:r w:rsidR="00D923E2" w:rsidRPr="007D5B82">
        <w:t>Reyner</w:t>
      </w:r>
      <w:proofErr w:type="spellEnd"/>
      <w:r w:rsidR="00D923E2" w:rsidRPr="007D5B82">
        <w:t xml:space="preserve"> Banham observed in 1968, </w:t>
      </w:r>
    </w:p>
    <w:p w14:paraId="5A8EBD19" w14:textId="77777777" w:rsidR="00D923E2" w:rsidRPr="007D5B82" w:rsidRDefault="00D923E2" w:rsidP="00D923E2">
      <w:pPr>
        <w:pStyle w:val="Quotation"/>
        <w:spacing w:after="120"/>
      </w:pPr>
      <w:r w:rsidRPr="007D5B82">
        <w:t xml:space="preserve">All architecture has to mediate between an outer and an inner environment in some way, but if you can sense a rigid structure actually doing it (dripping sounds, tiles flying off, windows rattling) it usually means a malfunction. An inflatable, on the other hand, in its state of active homeostasis, trimming adjusting and taking up strains, is malfunctioning if it </w:t>
      </w:r>
      <w:r w:rsidRPr="007D5B82">
        <w:rPr>
          <w:i/>
        </w:rPr>
        <w:t xml:space="preserve">doesn’t </w:t>
      </w:r>
      <w:r w:rsidRPr="007D5B82">
        <w:t>squirm and creak. As an adjustable and largely self-regulating membrane it is more truly like the skin of a living creature that the metaphorical “skin” of, say, a glass-walled office block.</w:t>
      </w:r>
      <w:r w:rsidRPr="007D5B82">
        <w:rPr>
          <w:rStyle w:val="EndnoteReference"/>
        </w:rPr>
        <w:endnoteReference w:id="11"/>
      </w:r>
    </w:p>
    <w:p w14:paraId="30F942AC" w14:textId="55D3B19B" w:rsidR="00D923E2" w:rsidRPr="007D5B82" w:rsidRDefault="00D923E2" w:rsidP="00D923E2">
      <w:r w:rsidRPr="007D5B82">
        <w:t xml:space="preserve">An early advocate for inflatables, Banham romanticized their instability. In his 1965 essay “A </w:t>
      </w:r>
      <w:r w:rsidR="00345534" w:rsidRPr="007D5B82">
        <w:t>Home</w:t>
      </w:r>
      <w:r w:rsidRPr="007D5B82">
        <w:t xml:space="preserve"> is not a Ho</w:t>
      </w:r>
      <w:r w:rsidR="00345534" w:rsidRPr="007D5B82">
        <w:t>use</w:t>
      </w:r>
      <w:r w:rsidRPr="007D5B82">
        <w:t xml:space="preserve">,” Banham proposed </w:t>
      </w:r>
      <w:r w:rsidRPr="007D5B82">
        <w:rPr>
          <w:i/>
        </w:rPr>
        <w:t>Environment-Bubble</w:t>
      </w:r>
      <w:r w:rsidRPr="007D5B82">
        <w:t xml:space="preserve">, a domesticated utopia equipped with modern amenities </w:t>
      </w:r>
      <w:r w:rsidRPr="007D5B82">
        <w:rPr>
          <w:b/>
        </w:rPr>
        <w:t xml:space="preserve">(Fig. </w:t>
      </w:r>
      <w:r w:rsidR="00A539DA" w:rsidRPr="007D5B82">
        <w:rPr>
          <w:b/>
        </w:rPr>
        <w:t>2</w:t>
      </w:r>
      <w:r w:rsidRPr="007D5B82">
        <w:rPr>
          <w:b/>
        </w:rPr>
        <w:t>)</w:t>
      </w:r>
      <w:r w:rsidRPr="007D5B82">
        <w:t>.</w:t>
      </w:r>
      <w:r w:rsidR="00185CF0" w:rsidRPr="007D5B82">
        <w:rPr>
          <w:rStyle w:val="EndnoteReference"/>
        </w:rPr>
        <w:endnoteReference w:id="12"/>
      </w:r>
      <w:r w:rsidRPr="007D5B82">
        <w:t xml:space="preserve"> </w:t>
      </w:r>
      <w:r w:rsidR="00231C6C" w:rsidRPr="007D5B82">
        <w:t xml:space="preserve">Although a radical and anti-monumental prototype for rethinking architecture’s relationship to technology, humans and the environment, </w:t>
      </w:r>
      <w:r w:rsidR="00815404" w:rsidRPr="007D5B82">
        <w:t>it</w:t>
      </w:r>
      <w:r w:rsidR="009230EE" w:rsidRPr="007D5B82">
        <w:t>s pneumatic enclosure was a flimsy, barely-there membrane, deployed only when needed</w:t>
      </w:r>
      <w:r w:rsidR="00231C6C" w:rsidRPr="007D5B82">
        <w:t>. So</w:t>
      </w:r>
      <w:r w:rsidR="009230EE" w:rsidRPr="007D5B82">
        <w:t>,</w:t>
      </w:r>
      <w:r w:rsidRPr="007D5B82">
        <w:t xml:space="preserve"> did Banham and his contemporaries take pneumatics seriously? Banham did, after all, call inflatables “wind bags,”</w:t>
      </w:r>
      <w:r w:rsidR="009C1A81" w:rsidRPr="007D5B82">
        <w:rPr>
          <w:rStyle w:val="EndnoteReference"/>
        </w:rPr>
        <w:endnoteReference w:id="13"/>
      </w:r>
      <w:r w:rsidRPr="007D5B82">
        <w:t xml:space="preserve"> and referred to his </w:t>
      </w:r>
      <w:r w:rsidRPr="007D5B82">
        <w:rPr>
          <w:i/>
        </w:rPr>
        <w:t xml:space="preserve">Environment-Bubble </w:t>
      </w:r>
      <w:r w:rsidRPr="007D5B82">
        <w:t>as</w:t>
      </w:r>
      <w:r w:rsidRPr="007D5B82">
        <w:rPr>
          <w:i/>
        </w:rPr>
        <w:t xml:space="preserve"> </w:t>
      </w:r>
      <w:r w:rsidR="003B3DB8" w:rsidRPr="007D5B82">
        <w:t xml:space="preserve">a </w:t>
      </w:r>
      <w:r w:rsidRPr="007D5B82">
        <w:t>“</w:t>
      </w:r>
      <w:r w:rsidR="003B3DB8" w:rsidRPr="007D5B82">
        <w:t>standard of living package</w:t>
      </w:r>
      <w:r w:rsidRPr="007D5B82">
        <w:t>,”</w:t>
      </w:r>
      <w:r w:rsidR="00345534" w:rsidRPr="007D5B82">
        <w:rPr>
          <w:rStyle w:val="EndnoteReference"/>
        </w:rPr>
        <w:endnoteReference w:id="14"/>
      </w:r>
      <w:r w:rsidRPr="007D5B82">
        <w:t xml:space="preserve"> suggesting</w:t>
      </w:r>
      <w:r w:rsidR="00966511">
        <w:t>,</w:t>
      </w:r>
      <w:r w:rsidRPr="007D5B82">
        <w:t xml:space="preserve"> </w:t>
      </w:r>
      <w:r w:rsidR="00966511">
        <w:t>ironically,</w:t>
      </w:r>
      <w:r w:rsidR="0045057D" w:rsidRPr="007D5B82">
        <w:t xml:space="preserve"> that the pneumatic environment, </w:t>
      </w:r>
      <w:r w:rsidRPr="007D5B82">
        <w:t xml:space="preserve">in the words of </w:t>
      </w:r>
      <w:r w:rsidR="00164E92">
        <w:t xml:space="preserve">architect and historian </w:t>
      </w:r>
      <w:r w:rsidRPr="007D5B82">
        <w:t>Thomas Leslie, “</w:t>
      </w:r>
      <w:r w:rsidR="0045057D" w:rsidRPr="007D5B82">
        <w:t xml:space="preserve">may in fact </w:t>
      </w:r>
      <w:r w:rsidRPr="007D5B82">
        <w:t xml:space="preserve">be more of a lusty </w:t>
      </w:r>
      <w:proofErr w:type="spellStart"/>
      <w:r w:rsidRPr="007D5B82">
        <w:t>technofantasy</w:t>
      </w:r>
      <w:proofErr w:type="spellEnd"/>
      <w:r w:rsidRPr="007D5B82">
        <w:t xml:space="preserve"> than a legitimate tectonic proposition.”</w:t>
      </w:r>
      <w:r w:rsidRPr="007D5B82">
        <w:rPr>
          <w:rStyle w:val="EndnoteReference"/>
          <w:szCs w:val="20"/>
        </w:rPr>
        <w:endnoteReference w:id="15"/>
      </w:r>
      <w:r w:rsidRPr="007D5B82">
        <w:t xml:space="preserve"> </w:t>
      </w:r>
    </w:p>
    <w:p w14:paraId="657F8B1C" w14:textId="77777777" w:rsidR="00D923E2" w:rsidRPr="007D5B82" w:rsidRDefault="00D923E2" w:rsidP="00D923E2"/>
    <w:p w14:paraId="1C6BC05B" w14:textId="61C6B577" w:rsidR="00023597" w:rsidRPr="007D5B82" w:rsidRDefault="00D923E2" w:rsidP="00D923E2">
      <w:pPr>
        <w:rPr>
          <w:szCs w:val="20"/>
        </w:rPr>
      </w:pPr>
      <w:r w:rsidRPr="007D5B82">
        <w:rPr>
          <w:szCs w:val="20"/>
        </w:rPr>
        <w:t xml:space="preserve">Although pneumatics became the </w:t>
      </w:r>
      <w:r w:rsidR="00315364">
        <w:rPr>
          <w:szCs w:val="20"/>
        </w:rPr>
        <w:t>default strategy</w:t>
      </w:r>
      <w:r w:rsidRPr="007D5B82">
        <w:rPr>
          <w:szCs w:val="20"/>
        </w:rPr>
        <w:t xml:space="preserve"> for artists and architects </w:t>
      </w:r>
      <w:r w:rsidR="00B50008">
        <w:rPr>
          <w:szCs w:val="20"/>
        </w:rPr>
        <w:t>striving</w:t>
      </w:r>
      <w:r w:rsidR="00B50008" w:rsidRPr="007D5B82">
        <w:rPr>
          <w:szCs w:val="20"/>
        </w:rPr>
        <w:t xml:space="preserve"> </w:t>
      </w:r>
      <w:r w:rsidRPr="007D5B82">
        <w:rPr>
          <w:szCs w:val="20"/>
        </w:rPr>
        <w:t xml:space="preserve">to push the boundaries of form and space, on the low-tech and DIY end of the spectrum, they also dismantled the notion of architectural expertise. For example, Ant Farm’s </w:t>
      </w:r>
      <w:proofErr w:type="spellStart"/>
      <w:r w:rsidRPr="007D5B82">
        <w:rPr>
          <w:i/>
          <w:szCs w:val="20"/>
        </w:rPr>
        <w:t>Inflatocookbook</w:t>
      </w:r>
      <w:proofErr w:type="spellEnd"/>
      <w:r w:rsidRPr="007D5B82">
        <w:rPr>
          <w:i/>
          <w:szCs w:val="20"/>
        </w:rPr>
        <w:t xml:space="preserve"> </w:t>
      </w:r>
      <w:r w:rsidRPr="007D5B82">
        <w:rPr>
          <w:szCs w:val="20"/>
        </w:rPr>
        <w:t>instructed everyday users to make “fast, cheap inflatables,” fueling the ethos “that maybe anybody can should must take space-making beautifying into her, his own hands.”</w:t>
      </w:r>
      <w:r w:rsidRPr="007D5B82">
        <w:rPr>
          <w:rStyle w:val="EndnoteReference"/>
          <w:szCs w:val="20"/>
        </w:rPr>
        <w:endnoteReference w:id="16"/>
      </w:r>
      <w:r w:rsidRPr="007D5B82">
        <w:rPr>
          <w:szCs w:val="20"/>
        </w:rPr>
        <w:t xml:space="preserve"> As a result, their low-fi attribut</w:t>
      </w:r>
      <w:r w:rsidR="00B50008">
        <w:rPr>
          <w:szCs w:val="20"/>
        </w:rPr>
        <w:t>ions</w:t>
      </w:r>
      <w:r w:rsidRPr="007D5B82">
        <w:rPr>
          <w:szCs w:val="20"/>
        </w:rPr>
        <w:t xml:space="preserve"> perpetuated the image of air filled structures as impermanent, unstable and unpredictable, ushering in skepticism about their feasibility as an architectural solution.</w:t>
      </w:r>
      <w:r w:rsidR="00C80133" w:rsidRPr="007D5B82">
        <w:rPr>
          <w:szCs w:val="20"/>
        </w:rPr>
        <w:t xml:space="preserve"> </w:t>
      </w:r>
      <w:r w:rsidR="00020053" w:rsidRPr="007D5B82">
        <w:rPr>
          <w:szCs w:val="20"/>
        </w:rPr>
        <w:t>Despite</w:t>
      </w:r>
      <w:r w:rsidR="00B50008">
        <w:rPr>
          <w:szCs w:val="20"/>
        </w:rPr>
        <w:t xml:space="preserve"> any</w:t>
      </w:r>
      <w:r w:rsidR="00020053" w:rsidRPr="007D5B82">
        <w:rPr>
          <w:szCs w:val="20"/>
        </w:rPr>
        <w:t xml:space="preserve"> </w:t>
      </w:r>
      <w:r w:rsidR="00B50008">
        <w:rPr>
          <w:szCs w:val="20"/>
        </w:rPr>
        <w:t>demystification on</w:t>
      </w:r>
      <w:r w:rsidR="00020053" w:rsidRPr="007D5B82">
        <w:rPr>
          <w:szCs w:val="20"/>
        </w:rPr>
        <w:t xml:space="preserve"> how infl</w:t>
      </w:r>
      <w:r w:rsidR="003E2956" w:rsidRPr="007D5B82">
        <w:rPr>
          <w:szCs w:val="20"/>
        </w:rPr>
        <w:t xml:space="preserve">atables </w:t>
      </w:r>
      <w:r w:rsidR="00A42730" w:rsidRPr="007D5B82">
        <w:rPr>
          <w:szCs w:val="20"/>
        </w:rPr>
        <w:t>were</w:t>
      </w:r>
      <w:r w:rsidR="003E2956" w:rsidRPr="007D5B82">
        <w:rPr>
          <w:szCs w:val="20"/>
        </w:rPr>
        <w:t xml:space="preserve"> made</w:t>
      </w:r>
      <w:r w:rsidR="00B50008">
        <w:rPr>
          <w:szCs w:val="20"/>
        </w:rPr>
        <w:t>—</w:t>
      </w:r>
      <w:r w:rsidR="003E2956" w:rsidRPr="007D5B82">
        <w:rPr>
          <w:szCs w:val="20"/>
        </w:rPr>
        <w:t>promoting their proliferation</w:t>
      </w:r>
      <w:r w:rsidR="00B50008">
        <w:rPr>
          <w:szCs w:val="20"/>
        </w:rPr>
        <w:t>—</w:t>
      </w:r>
      <w:r w:rsidR="003E2956" w:rsidRPr="007D5B82">
        <w:rPr>
          <w:szCs w:val="20"/>
        </w:rPr>
        <w:t>Ant Farm also addresse</w:t>
      </w:r>
      <w:r w:rsidR="00A42730" w:rsidRPr="007D5B82">
        <w:rPr>
          <w:szCs w:val="20"/>
        </w:rPr>
        <w:t>d</w:t>
      </w:r>
      <w:r w:rsidR="003E2956" w:rsidRPr="007D5B82">
        <w:rPr>
          <w:szCs w:val="20"/>
        </w:rPr>
        <w:t xml:space="preserve"> the environmental impact of </w:t>
      </w:r>
      <w:r w:rsidR="00A753D3" w:rsidRPr="007D5B82">
        <w:rPr>
          <w:szCs w:val="20"/>
        </w:rPr>
        <w:t>the</w:t>
      </w:r>
      <w:r w:rsidR="00966511">
        <w:rPr>
          <w:szCs w:val="20"/>
        </w:rPr>
        <w:t>ir</w:t>
      </w:r>
      <w:r w:rsidR="00A753D3" w:rsidRPr="007D5B82">
        <w:rPr>
          <w:szCs w:val="20"/>
        </w:rPr>
        <w:t xml:space="preserve"> afterlife</w:t>
      </w:r>
      <w:r w:rsidR="003E2956" w:rsidRPr="007D5B82">
        <w:rPr>
          <w:szCs w:val="20"/>
        </w:rPr>
        <w:t xml:space="preserve">, albeit in a rather alarming fashion. </w:t>
      </w:r>
      <w:r w:rsidR="00A753D3" w:rsidRPr="007D5B82">
        <w:rPr>
          <w:szCs w:val="20"/>
        </w:rPr>
        <w:t>With respect to polyethylene, the plastic sheeting most commonly used for DIY pneumatic constructions, t</w:t>
      </w:r>
      <w:r w:rsidR="003E2956" w:rsidRPr="007D5B82">
        <w:rPr>
          <w:szCs w:val="20"/>
        </w:rPr>
        <w:t>hey write</w:t>
      </w:r>
      <w:r w:rsidR="00A753D3" w:rsidRPr="007D5B82">
        <w:rPr>
          <w:szCs w:val="20"/>
        </w:rPr>
        <w:t>:</w:t>
      </w:r>
      <w:r w:rsidR="00023597" w:rsidRPr="007D5B82">
        <w:rPr>
          <w:szCs w:val="20"/>
        </w:rPr>
        <w:t xml:space="preserve"> </w:t>
      </w:r>
    </w:p>
    <w:p w14:paraId="2185C1D6" w14:textId="08417847" w:rsidR="00020053" w:rsidRPr="007D5B82" w:rsidRDefault="00A753D3" w:rsidP="00EF5F26">
      <w:pPr>
        <w:tabs>
          <w:tab w:val="left" w:pos="720"/>
        </w:tabs>
        <w:spacing w:after="120" w:line="240" w:lineRule="auto"/>
        <w:ind w:left="720"/>
        <w:rPr>
          <w:sz w:val="18"/>
          <w:szCs w:val="18"/>
        </w:rPr>
      </w:pPr>
      <w:r w:rsidRPr="007D5B82">
        <w:rPr>
          <w:sz w:val="18"/>
          <w:szCs w:val="18"/>
        </w:rPr>
        <w:t xml:space="preserve">The best way to recycle polyethylene is to reuse it, but when it gets many holes in it, it is no longer good as rain cover. The worst thing you can do with it is to put it in a garbage can—it will probably end up as land fill </w:t>
      </w:r>
      <w:r w:rsidRPr="007D5B82">
        <w:rPr>
          <w:sz w:val="18"/>
          <w:szCs w:val="18"/>
        </w:rPr>
        <w:lastRenderedPageBreak/>
        <w:t>and never decompose. The best thing you can do with it is BURN it.</w:t>
      </w:r>
      <w:r w:rsidR="00023597" w:rsidRPr="007D5B82">
        <w:rPr>
          <w:sz w:val="18"/>
          <w:szCs w:val="18"/>
        </w:rPr>
        <w:t xml:space="preserve"> When polyethylene </w:t>
      </w:r>
      <w:proofErr w:type="gramStart"/>
      <w:r w:rsidR="00023597" w:rsidRPr="007D5B82">
        <w:rPr>
          <w:sz w:val="18"/>
          <w:szCs w:val="18"/>
        </w:rPr>
        <w:t>burns</w:t>
      </w:r>
      <w:proofErr w:type="gramEnd"/>
      <w:r w:rsidR="00023597" w:rsidRPr="007D5B82">
        <w:rPr>
          <w:sz w:val="18"/>
          <w:szCs w:val="18"/>
        </w:rPr>
        <w:t xml:space="preserve"> it breaks down into CO2, H2O, and carbon which is the ugly black smoke produced but which will precipitate out of the air quickly and be absorbed by the earth.</w:t>
      </w:r>
      <w:r w:rsidR="00023597" w:rsidRPr="007D5B82">
        <w:rPr>
          <w:rStyle w:val="EndnoteReference"/>
          <w:sz w:val="18"/>
          <w:szCs w:val="18"/>
        </w:rPr>
        <w:endnoteReference w:id="17"/>
      </w:r>
      <w:r w:rsidR="00023597" w:rsidRPr="007D5B82">
        <w:rPr>
          <w:sz w:val="18"/>
          <w:szCs w:val="18"/>
        </w:rPr>
        <w:t xml:space="preserve"> </w:t>
      </w:r>
    </w:p>
    <w:p w14:paraId="32712360" w14:textId="64F168A9" w:rsidR="00020053" w:rsidRPr="007D5B82" w:rsidRDefault="00966511" w:rsidP="00D923E2">
      <w:pPr>
        <w:rPr>
          <w:szCs w:val="20"/>
        </w:rPr>
      </w:pPr>
      <w:r>
        <w:rPr>
          <w:szCs w:val="20"/>
        </w:rPr>
        <w:t>T</w:t>
      </w:r>
      <w:r w:rsidR="00023597" w:rsidRPr="007D5B82">
        <w:rPr>
          <w:szCs w:val="20"/>
        </w:rPr>
        <w:t>his suggestion brings to light the darker side of pneumatics. Not only did the DIY approach rely on cheap and everyday materials like polyethylene, a petroleum-based plastic product, but it also perpetuated a problematic ethos of expendability</w:t>
      </w:r>
      <w:r w:rsidR="003B32D3" w:rsidRPr="007D5B82">
        <w:rPr>
          <w:szCs w:val="20"/>
        </w:rPr>
        <w:t xml:space="preserve"> in an era of increasing environmental awareness</w:t>
      </w:r>
      <w:r w:rsidR="00023597" w:rsidRPr="007D5B82">
        <w:rPr>
          <w:szCs w:val="20"/>
        </w:rPr>
        <w:t xml:space="preserve">. Although </w:t>
      </w:r>
      <w:r w:rsidR="003B32D3" w:rsidRPr="007D5B82">
        <w:rPr>
          <w:szCs w:val="20"/>
        </w:rPr>
        <w:t xml:space="preserve">these </w:t>
      </w:r>
      <w:r w:rsidR="00023597" w:rsidRPr="007D5B82">
        <w:rPr>
          <w:szCs w:val="20"/>
        </w:rPr>
        <w:t>ephemeral constructions allowed for nearly</w:t>
      </w:r>
      <w:r w:rsidR="003B32D3" w:rsidRPr="007D5B82">
        <w:rPr>
          <w:szCs w:val="20"/>
        </w:rPr>
        <w:t xml:space="preserve"> </w:t>
      </w:r>
      <w:r w:rsidR="00023597" w:rsidRPr="007D5B82">
        <w:rPr>
          <w:szCs w:val="20"/>
        </w:rPr>
        <w:t>instan</w:t>
      </w:r>
      <w:r w:rsidR="003B32D3" w:rsidRPr="007D5B82">
        <w:rPr>
          <w:szCs w:val="20"/>
        </w:rPr>
        <w:t>tan</w:t>
      </w:r>
      <w:r w:rsidR="00023597" w:rsidRPr="007D5B82">
        <w:rPr>
          <w:szCs w:val="20"/>
        </w:rPr>
        <w:t xml:space="preserve">eous </w:t>
      </w:r>
      <w:r w:rsidR="003B32D3" w:rsidRPr="007D5B82">
        <w:rPr>
          <w:szCs w:val="20"/>
        </w:rPr>
        <w:t xml:space="preserve">countercultural </w:t>
      </w:r>
      <w:r w:rsidR="00023597" w:rsidRPr="007D5B82">
        <w:rPr>
          <w:szCs w:val="20"/>
        </w:rPr>
        <w:t>experimentation, they were also resource-intensive</w:t>
      </w:r>
      <w:r w:rsidR="003B32D3" w:rsidRPr="007D5B82">
        <w:rPr>
          <w:szCs w:val="20"/>
        </w:rPr>
        <w:t xml:space="preserve"> and </w:t>
      </w:r>
      <w:r w:rsidR="00023597" w:rsidRPr="007D5B82">
        <w:rPr>
          <w:szCs w:val="20"/>
        </w:rPr>
        <w:t>wasteful</w:t>
      </w:r>
      <w:r w:rsidR="003B32D3" w:rsidRPr="007D5B82">
        <w:rPr>
          <w:szCs w:val="20"/>
        </w:rPr>
        <w:t xml:space="preserve">. In addition, because </w:t>
      </w:r>
      <w:r w:rsidR="00A42730" w:rsidRPr="007D5B82">
        <w:rPr>
          <w:szCs w:val="20"/>
        </w:rPr>
        <w:t xml:space="preserve">they needed to be </w:t>
      </w:r>
      <w:r w:rsidR="003B32D3" w:rsidRPr="007D5B82">
        <w:rPr>
          <w:szCs w:val="20"/>
        </w:rPr>
        <w:t xml:space="preserve">“plugged in,” pneumatics began to call into question their </w:t>
      </w:r>
      <w:r w:rsidR="001A7B2C" w:rsidRPr="007D5B82">
        <w:rPr>
          <w:szCs w:val="20"/>
        </w:rPr>
        <w:t>efficac</w:t>
      </w:r>
      <w:r w:rsidR="003B32D3" w:rsidRPr="007D5B82">
        <w:rPr>
          <w:szCs w:val="20"/>
        </w:rPr>
        <w:t xml:space="preserve">y as an alternative to conventional modes of building. </w:t>
      </w:r>
    </w:p>
    <w:p w14:paraId="589480FF" w14:textId="77777777" w:rsidR="00023597" w:rsidRPr="007D5B82" w:rsidRDefault="00023597" w:rsidP="00D923E2">
      <w:pPr>
        <w:rPr>
          <w:szCs w:val="20"/>
        </w:rPr>
      </w:pPr>
    </w:p>
    <w:p w14:paraId="6908AE13" w14:textId="1335A8D4" w:rsidR="00D923E2" w:rsidRPr="007D5B82" w:rsidRDefault="00D923E2" w:rsidP="00D923E2">
      <w:pPr>
        <w:rPr>
          <w:szCs w:val="20"/>
        </w:rPr>
      </w:pPr>
      <w:r w:rsidRPr="007D5B82">
        <w:rPr>
          <w:szCs w:val="20"/>
        </w:rPr>
        <w:t xml:space="preserve">For instance, in a 1971 edition of </w:t>
      </w:r>
      <w:r w:rsidRPr="007D5B82">
        <w:rPr>
          <w:i/>
          <w:szCs w:val="20"/>
        </w:rPr>
        <w:t>Whole Earth Catalog—</w:t>
      </w:r>
      <w:r w:rsidR="001A7B2C" w:rsidRPr="007D5B82">
        <w:rPr>
          <w:szCs w:val="20"/>
        </w:rPr>
        <w:t>a grass</w:t>
      </w:r>
      <w:r w:rsidRPr="007D5B82">
        <w:rPr>
          <w:szCs w:val="20"/>
        </w:rPr>
        <w:t>roots, DIY, countercultural magazine published from 1968-72—founder Stewart Brand</w:t>
      </w:r>
      <w:r w:rsidR="00EF5F26" w:rsidRPr="007D5B82">
        <w:rPr>
          <w:szCs w:val="20"/>
        </w:rPr>
        <w:t>, who had previously expressed his fascination with pneumatics and supported the work of Ant Farm,</w:t>
      </w:r>
      <w:r w:rsidRPr="007D5B82">
        <w:rPr>
          <w:szCs w:val="20"/>
        </w:rPr>
        <w:t xml:space="preserve"> </w:t>
      </w:r>
      <w:r w:rsidR="008B6529" w:rsidRPr="007D5B82">
        <w:rPr>
          <w:szCs w:val="20"/>
        </w:rPr>
        <w:t xml:space="preserve">began to </w:t>
      </w:r>
      <w:r w:rsidRPr="007D5B82">
        <w:rPr>
          <w:szCs w:val="20"/>
        </w:rPr>
        <w:t>question</w:t>
      </w:r>
      <w:r w:rsidR="008B6529" w:rsidRPr="007D5B82">
        <w:rPr>
          <w:szCs w:val="20"/>
        </w:rPr>
        <w:t xml:space="preserve"> t</w:t>
      </w:r>
      <w:r w:rsidR="00EF5F26" w:rsidRPr="007D5B82">
        <w:rPr>
          <w:szCs w:val="20"/>
        </w:rPr>
        <w:t>heir viability. According to Brand</w:t>
      </w:r>
      <w:r w:rsidR="008B6529" w:rsidRPr="007D5B82">
        <w:rPr>
          <w:szCs w:val="20"/>
        </w:rPr>
        <w:t>,</w:t>
      </w:r>
    </w:p>
    <w:p w14:paraId="0D0B073E" w14:textId="77777777" w:rsidR="00D923E2" w:rsidRPr="007D5B82" w:rsidRDefault="00D923E2" w:rsidP="00D923E2">
      <w:pPr>
        <w:pStyle w:val="Quotation"/>
        <w:spacing w:after="120"/>
      </w:pPr>
      <w:r w:rsidRPr="007D5B82">
        <w:t>Inflatables are trippy, cheap, light, imaginative space, not architecture at all. They’re terrible to work in. The blazing redundant surfaces disorient; one wallows in space. When the sun goes behind a cloud you cease cooking and immediately start freezing. Environmentally, what an inflatable is best at is protecting you from a gentle rain. Wind wants to take the structure with it across the country, so you get into heavy anchoring operations.</w:t>
      </w:r>
      <w:r w:rsidRPr="007D5B82">
        <w:rPr>
          <w:rStyle w:val="EndnoteReference"/>
        </w:rPr>
        <w:endnoteReference w:id="18"/>
      </w:r>
    </w:p>
    <w:p w14:paraId="39ABC979" w14:textId="4B9D247D" w:rsidR="00A17517" w:rsidRPr="007D5B82" w:rsidRDefault="00052858" w:rsidP="00D923E2">
      <w:r w:rsidRPr="007D5B82">
        <w:t>Despite the romanticism and promise of the pneumatic project in the 1960s, cynicism set in</w:t>
      </w:r>
      <w:r w:rsidR="00476205" w:rsidRPr="00476205">
        <w:t xml:space="preserve"> </w:t>
      </w:r>
      <w:r w:rsidR="00476205" w:rsidRPr="007D5B82">
        <w:t>by the early 1970s</w:t>
      </w:r>
      <w:r w:rsidRPr="007D5B82">
        <w:t xml:space="preserve">. The flash-in-the pan approach to DIY inflatables had fueled their rise in popularity, but also called into question whether the hippy-dippy nature of these “wind bags” was really </w:t>
      </w:r>
      <w:r w:rsidR="001A7B2C" w:rsidRPr="007D5B82">
        <w:t>an advisable trajectory</w:t>
      </w:r>
      <w:r w:rsidRPr="007D5B82">
        <w:t xml:space="preserve"> for architecture. </w:t>
      </w:r>
      <w:r w:rsidR="00D923E2" w:rsidRPr="007D5B82">
        <w:t xml:space="preserve">Simply put, the proliferation of DIY pneumatics privileged the low-tech, and their reliance on non-renewable resources (plastic and electricity) </w:t>
      </w:r>
      <w:r w:rsidR="001A7B2C" w:rsidRPr="007D5B82">
        <w:t>undermined their radical</w:t>
      </w:r>
      <w:r w:rsidR="00D923E2" w:rsidRPr="007D5B82">
        <w:t xml:space="preserve"> agency</w:t>
      </w:r>
      <w:r w:rsidR="00382427" w:rsidRPr="007D5B82">
        <w:t xml:space="preserve">. </w:t>
      </w:r>
    </w:p>
    <w:p w14:paraId="20256D18" w14:textId="77777777" w:rsidR="00A17517" w:rsidRPr="007D5B82" w:rsidRDefault="00A17517" w:rsidP="00D923E2"/>
    <w:p w14:paraId="450C1B3B" w14:textId="495AC9D7" w:rsidR="00E01D04" w:rsidRPr="007D5B82" w:rsidRDefault="00185CF0" w:rsidP="00E01D04">
      <w:r w:rsidRPr="007D5B82">
        <w:t>Was</w:t>
      </w:r>
      <w:r w:rsidR="00382427" w:rsidRPr="007D5B82">
        <w:t xml:space="preserve"> </w:t>
      </w:r>
      <w:r w:rsidR="00052858" w:rsidRPr="007D5B82">
        <w:t>there still a future for pneumatic</w:t>
      </w:r>
      <w:r w:rsidR="00382427" w:rsidRPr="007D5B82">
        <w:t xml:space="preserve"> architecture?</w:t>
      </w:r>
      <w:r w:rsidR="00A17517" w:rsidRPr="007D5B82">
        <w:t xml:space="preserve"> </w:t>
      </w:r>
      <w:r w:rsidR="00E01D04" w:rsidRPr="007D5B82">
        <w:rPr>
          <w:szCs w:val="20"/>
        </w:rPr>
        <w:t xml:space="preserve">In August 1972, </w:t>
      </w:r>
      <w:r w:rsidR="00E01D04" w:rsidRPr="007D5B82">
        <w:rPr>
          <w:i/>
          <w:szCs w:val="20"/>
        </w:rPr>
        <w:t>Progressive Architecture</w:t>
      </w:r>
      <w:r w:rsidR="00E01D04" w:rsidRPr="007D5B82">
        <w:rPr>
          <w:szCs w:val="20"/>
        </w:rPr>
        <w:t xml:space="preserve"> published a feature on the latest developments in air structures, acknowledging their mixed reception, yet advocating for their promising future. Despite an “uphill fight for acceptance” as feasible and serious building types, the article focuse</w:t>
      </w:r>
      <w:r w:rsidRPr="007D5B82">
        <w:rPr>
          <w:szCs w:val="20"/>
        </w:rPr>
        <w:t>d</w:t>
      </w:r>
      <w:r w:rsidR="00E01D04" w:rsidRPr="007D5B82">
        <w:rPr>
          <w:szCs w:val="20"/>
        </w:rPr>
        <w:t xml:space="preserve"> on various pneumatic pioneers who </w:t>
      </w:r>
      <w:r w:rsidRPr="007D5B82">
        <w:rPr>
          <w:szCs w:val="20"/>
        </w:rPr>
        <w:t>were</w:t>
      </w:r>
      <w:r w:rsidR="00E01D04" w:rsidRPr="007D5B82">
        <w:rPr>
          <w:szCs w:val="20"/>
        </w:rPr>
        <w:t xml:space="preserve"> battling social misconceptions through technical solutions.</w:t>
      </w:r>
      <w:r w:rsidR="00E01D04" w:rsidRPr="007D5B82">
        <w:rPr>
          <w:rStyle w:val="EndnoteReference"/>
          <w:szCs w:val="20"/>
        </w:rPr>
        <w:endnoteReference w:id="19"/>
      </w:r>
      <w:r w:rsidR="00E01D04" w:rsidRPr="007D5B82">
        <w:rPr>
          <w:szCs w:val="20"/>
        </w:rPr>
        <w:t xml:space="preserve"> Challenging the perception of air structures as simply “tents, or tennis court covers, or temporary whims,”</w:t>
      </w:r>
      <w:r w:rsidR="001A7B2C" w:rsidRPr="007D5B82">
        <w:rPr>
          <w:rStyle w:val="EndnoteReference"/>
          <w:szCs w:val="20"/>
        </w:rPr>
        <w:endnoteReference w:id="20"/>
      </w:r>
      <w:r w:rsidR="00E01D04" w:rsidRPr="007D5B82">
        <w:rPr>
          <w:szCs w:val="20"/>
        </w:rPr>
        <w:t xml:space="preserve"> the issue examine</w:t>
      </w:r>
      <w:r w:rsidRPr="007D5B82">
        <w:rPr>
          <w:szCs w:val="20"/>
        </w:rPr>
        <w:t>d</w:t>
      </w:r>
      <w:r w:rsidR="00E01D04" w:rsidRPr="007D5B82">
        <w:rPr>
          <w:szCs w:val="20"/>
        </w:rPr>
        <w:t xml:space="preserve"> the future prospects for pneumatics in the wake of the Osaka 1970 Expo, highlighting their advantages from a technological, environmental and social perspective.</w:t>
      </w:r>
      <w:r w:rsidR="00E01D04" w:rsidRPr="007D5B82">
        <w:rPr>
          <w:rStyle w:val="EndnoteReference"/>
          <w:szCs w:val="20"/>
        </w:rPr>
        <w:endnoteReference w:id="21"/>
      </w:r>
      <w:r w:rsidR="00E01D04" w:rsidRPr="007D5B82">
        <w:rPr>
          <w:szCs w:val="20"/>
        </w:rPr>
        <w:t xml:space="preserve"> Chrysalis </w:t>
      </w:r>
      <w:r w:rsidRPr="007D5B82">
        <w:rPr>
          <w:szCs w:val="20"/>
        </w:rPr>
        <w:t>was</w:t>
      </w:r>
      <w:r w:rsidR="00E01D04" w:rsidRPr="007D5B82">
        <w:rPr>
          <w:szCs w:val="20"/>
        </w:rPr>
        <w:t xml:space="preserve"> allocated a three-page spread, </w:t>
      </w:r>
      <w:r w:rsidR="00663C49">
        <w:rPr>
          <w:szCs w:val="20"/>
        </w:rPr>
        <w:t>which</w:t>
      </w:r>
      <w:r w:rsidR="00DD211A">
        <w:rPr>
          <w:szCs w:val="20"/>
        </w:rPr>
        <w:t xml:space="preserve"> presented</w:t>
      </w:r>
      <w:r w:rsidR="00663C49" w:rsidRPr="007D5B82">
        <w:rPr>
          <w:szCs w:val="20"/>
        </w:rPr>
        <w:t xml:space="preserve"> </w:t>
      </w:r>
      <w:r w:rsidR="00E01D04" w:rsidRPr="007D5B82">
        <w:rPr>
          <w:szCs w:val="20"/>
        </w:rPr>
        <w:t>a diverse range of proposed and built works, including two designs for pending pneumatic patents that address</w:t>
      </w:r>
      <w:r w:rsidR="00663C49">
        <w:rPr>
          <w:szCs w:val="20"/>
        </w:rPr>
        <w:t>ed</w:t>
      </w:r>
      <w:r w:rsidR="00E01D04" w:rsidRPr="007D5B82">
        <w:rPr>
          <w:szCs w:val="20"/>
        </w:rPr>
        <w:t xml:space="preserve"> thermal comfort and mobility: a </w:t>
      </w:r>
      <w:r w:rsidR="00DD211A">
        <w:rPr>
          <w:szCs w:val="20"/>
        </w:rPr>
        <w:t>skin of varying opacities</w:t>
      </w:r>
      <w:r w:rsidR="00E01D04" w:rsidRPr="007D5B82">
        <w:rPr>
          <w:szCs w:val="20"/>
        </w:rPr>
        <w:t>, and a self-anchoring device.</w:t>
      </w:r>
      <w:r w:rsidR="00E01D04" w:rsidRPr="007D5B82">
        <w:rPr>
          <w:rStyle w:val="EndnoteReference"/>
          <w:szCs w:val="20"/>
        </w:rPr>
        <w:endnoteReference w:id="22"/>
      </w:r>
      <w:r w:rsidR="00E01D04" w:rsidRPr="007D5B82">
        <w:rPr>
          <w:szCs w:val="20"/>
        </w:rPr>
        <w:t xml:space="preserve"> In addition to </w:t>
      </w:r>
      <w:r w:rsidR="00A17517" w:rsidRPr="007D5B82">
        <w:rPr>
          <w:szCs w:val="20"/>
        </w:rPr>
        <w:t xml:space="preserve">highlighting </w:t>
      </w:r>
      <w:r w:rsidR="00E01D04" w:rsidRPr="007D5B82">
        <w:rPr>
          <w:szCs w:val="20"/>
        </w:rPr>
        <w:t xml:space="preserve">their novel technical solutions, the magazine </w:t>
      </w:r>
      <w:r w:rsidR="00A17517" w:rsidRPr="007D5B82">
        <w:rPr>
          <w:szCs w:val="20"/>
        </w:rPr>
        <w:t xml:space="preserve">applauded Chrysalis </w:t>
      </w:r>
      <w:r w:rsidR="00E01D04" w:rsidRPr="007D5B82">
        <w:rPr>
          <w:szCs w:val="20"/>
        </w:rPr>
        <w:t xml:space="preserve">for their commitment </w:t>
      </w:r>
      <w:r w:rsidR="009854D1">
        <w:rPr>
          <w:szCs w:val="20"/>
        </w:rPr>
        <w:t>in</w:t>
      </w:r>
      <w:r w:rsidR="00E01D04" w:rsidRPr="007D5B82">
        <w:rPr>
          <w:szCs w:val="20"/>
        </w:rPr>
        <w:t xml:space="preserve"> “the ability of the bubble to adapt, its speed of erection, its dynamic possibilities and its alterability.”</w:t>
      </w:r>
      <w:r w:rsidR="00E01D04" w:rsidRPr="007D5B82">
        <w:rPr>
          <w:rStyle w:val="EndnoteReference"/>
          <w:szCs w:val="20"/>
        </w:rPr>
        <w:endnoteReference w:id="23"/>
      </w:r>
      <w:r w:rsidR="00E01D04" w:rsidRPr="007D5B82">
        <w:rPr>
          <w:szCs w:val="20"/>
        </w:rPr>
        <w:t xml:space="preserve"> </w:t>
      </w:r>
    </w:p>
    <w:p w14:paraId="1CC07CF6" w14:textId="77777777" w:rsidR="00D923E2" w:rsidRPr="007D5B82" w:rsidRDefault="00D923E2" w:rsidP="00D923E2">
      <w:pPr>
        <w:rPr>
          <w:b/>
          <w:szCs w:val="20"/>
        </w:rPr>
      </w:pPr>
    </w:p>
    <w:p w14:paraId="71ECB944" w14:textId="77777777" w:rsidR="00E01D04" w:rsidRPr="007D5B82" w:rsidRDefault="00E01D04" w:rsidP="00D923E2">
      <w:pPr>
        <w:rPr>
          <w:b/>
          <w:szCs w:val="20"/>
        </w:rPr>
      </w:pPr>
    </w:p>
    <w:p w14:paraId="07F8C433" w14:textId="77777777" w:rsidR="00D923E2" w:rsidRPr="007D5B82" w:rsidRDefault="00D923E2" w:rsidP="007E1C7B">
      <w:pPr>
        <w:outlineLvl w:val="0"/>
        <w:rPr>
          <w:b/>
          <w:szCs w:val="20"/>
        </w:rPr>
      </w:pPr>
      <w:r w:rsidRPr="007D5B82">
        <w:rPr>
          <w:b/>
          <w:szCs w:val="20"/>
        </w:rPr>
        <w:t>Chrysalis</w:t>
      </w:r>
    </w:p>
    <w:p w14:paraId="6D8B86D5" w14:textId="77777777" w:rsidR="00D923E2" w:rsidRPr="007D5B82" w:rsidRDefault="00D923E2" w:rsidP="0004035E"/>
    <w:p w14:paraId="426FFC78" w14:textId="6B6478D9" w:rsidR="00732A58" w:rsidRPr="007D5B82" w:rsidRDefault="00485BCC" w:rsidP="0004035E">
      <w:r w:rsidRPr="007D5B82">
        <w:t xml:space="preserve">Although inspired by the rhetoric and representational allure of </w:t>
      </w:r>
      <w:r w:rsidR="00E52586" w:rsidRPr="007D5B82">
        <w:t xml:space="preserve">countercultural architectural </w:t>
      </w:r>
      <w:r w:rsidRPr="007D5B82">
        <w:t xml:space="preserve">groups like </w:t>
      </w:r>
      <w:proofErr w:type="spellStart"/>
      <w:r w:rsidRPr="007D5B82">
        <w:t>Archigram</w:t>
      </w:r>
      <w:proofErr w:type="spellEnd"/>
      <w:r w:rsidRPr="007D5B82">
        <w:t xml:space="preserve">, Chrysalis aspired to move </w:t>
      </w:r>
      <w:r w:rsidR="00B940B0" w:rsidRPr="007D5B82">
        <w:t xml:space="preserve">pneumatics </w:t>
      </w:r>
      <w:r w:rsidRPr="007D5B82">
        <w:t>beyond a</w:t>
      </w:r>
      <w:r w:rsidR="00996EC6">
        <w:t>n</w:t>
      </w:r>
      <w:r w:rsidR="00EC79B3" w:rsidRPr="007D5B82">
        <w:t xml:space="preserve"> </w:t>
      </w:r>
      <w:r w:rsidRPr="007D5B82">
        <w:t>editorial</w:t>
      </w:r>
      <w:r w:rsidR="00EC79B3" w:rsidRPr="007D5B82">
        <w:t xml:space="preserve"> project</w:t>
      </w:r>
      <w:r w:rsidRPr="007D5B82">
        <w:t xml:space="preserve">. </w:t>
      </w:r>
      <w:r w:rsidR="00874F7E" w:rsidRPr="007D5B82">
        <w:t>According to Valerio, “What we did is we said: ‘We believe in all that stuff, but we also think that we need to raise the level of technology so that it’s not purely ephemeral.’”</w:t>
      </w:r>
      <w:r w:rsidR="00874F7E" w:rsidRPr="007D5B82">
        <w:rPr>
          <w:rStyle w:val="EndnoteReference"/>
        </w:rPr>
        <w:endnoteReference w:id="24"/>
      </w:r>
      <w:r w:rsidR="00874F7E" w:rsidRPr="007D5B82">
        <w:t xml:space="preserve"> Chrysalis viewed pneumatics as radica</w:t>
      </w:r>
      <w:r w:rsidR="006B6A46" w:rsidRPr="007D5B82">
        <w:t xml:space="preserve">l because </w:t>
      </w:r>
      <w:r w:rsidR="00874F7E" w:rsidRPr="007D5B82">
        <w:t xml:space="preserve">they offered an alternative to the </w:t>
      </w:r>
      <w:r w:rsidR="00350075" w:rsidRPr="007D5B82">
        <w:t xml:space="preserve">norms of professional practice </w:t>
      </w:r>
      <w:r w:rsidR="00874F7E" w:rsidRPr="007D5B82">
        <w:t>and served as a vehicle to expand the boundaries of architecture without abandoning building</w:t>
      </w:r>
      <w:r w:rsidR="00996EC6">
        <w:t xml:space="preserve"> altogether</w:t>
      </w:r>
      <w:r w:rsidR="00874F7E" w:rsidRPr="007D5B82">
        <w:t>. Chrysalis was dedicated to the advancement of inflatables as a viable form of architectural production</w:t>
      </w:r>
      <w:r w:rsidR="00996EC6">
        <w:t xml:space="preserve"> by a</w:t>
      </w:r>
      <w:r w:rsidR="00996EC6" w:rsidRPr="007D5B82">
        <w:t>sking what air structures can do, and how they could do it better</w:t>
      </w:r>
      <w:r w:rsidR="00874F7E" w:rsidRPr="007D5B82">
        <w:t xml:space="preserve">. </w:t>
      </w:r>
      <w:r w:rsidR="00EC79B3" w:rsidRPr="007D5B82">
        <w:t>T</w:t>
      </w:r>
      <w:r w:rsidRPr="007D5B82">
        <w:t xml:space="preserve">heir desire to explore experimental lightweight structures as </w:t>
      </w:r>
      <w:r w:rsidR="00350075" w:rsidRPr="007D5B82">
        <w:t>a counterpoint</w:t>
      </w:r>
      <w:r w:rsidRPr="007D5B82">
        <w:t xml:space="preserve"> to </w:t>
      </w:r>
      <w:r w:rsidR="00EC79B3" w:rsidRPr="007D5B82">
        <w:t xml:space="preserve">conventional modes of construction was born out of a desire to, as Valerio explains, </w:t>
      </w:r>
      <w:r w:rsidR="00D825DA" w:rsidRPr="007D5B82">
        <w:t>“do good architec</w:t>
      </w:r>
      <w:r w:rsidR="00EC79B3" w:rsidRPr="007D5B82">
        <w:t xml:space="preserve">ture in the context of a system, </w:t>
      </w:r>
      <w:r w:rsidR="00D825DA" w:rsidRPr="007D5B82">
        <w:t>and architectural profession</w:t>
      </w:r>
      <w:r w:rsidR="00EC79B3" w:rsidRPr="007D5B82">
        <w:t>,</w:t>
      </w:r>
      <w:r w:rsidR="00D825DA" w:rsidRPr="007D5B82">
        <w:t xml:space="preserve"> that seemed completely beholden to and part of the establishment.”</w:t>
      </w:r>
      <w:r w:rsidR="00EC79B3" w:rsidRPr="007D5B82">
        <w:rPr>
          <w:rStyle w:val="EndnoteReference"/>
          <w:szCs w:val="20"/>
        </w:rPr>
        <w:endnoteReference w:id="25"/>
      </w:r>
      <w:r w:rsidR="00EC79B3" w:rsidRPr="007D5B82">
        <w:t xml:space="preserve"> </w:t>
      </w:r>
    </w:p>
    <w:p w14:paraId="2D532D22" w14:textId="77777777" w:rsidR="00D923E2" w:rsidRPr="007D5B82" w:rsidRDefault="00D923E2" w:rsidP="0004035E"/>
    <w:p w14:paraId="6FA475CE" w14:textId="206D6C3C" w:rsidR="008E3592" w:rsidRPr="00DD211A" w:rsidRDefault="008E3592" w:rsidP="008E3592">
      <w:r w:rsidRPr="007D5B82">
        <w:t xml:space="preserve">Chrysalis first </w:t>
      </w:r>
      <w:r w:rsidR="00994745">
        <w:t>experiment</w:t>
      </w:r>
      <w:r w:rsidR="0037259A">
        <w:t>ed</w:t>
      </w:r>
      <w:r w:rsidR="00994745">
        <w:t xml:space="preserve"> with</w:t>
      </w:r>
      <w:r w:rsidRPr="007D5B82">
        <w:t xml:space="preserve"> pneumatics in Los Angeles </w:t>
      </w:r>
      <w:r w:rsidR="0037259A">
        <w:t xml:space="preserve">during </w:t>
      </w:r>
      <w:r w:rsidRPr="007D5B82">
        <w:t>the late 1960s</w:t>
      </w:r>
      <w:r w:rsidR="0037259A">
        <w:t xml:space="preserve"> amid </w:t>
      </w:r>
      <w:r w:rsidR="0037259A" w:rsidRPr="007D5B82">
        <w:t>the entertainment and aerospace industr</w:t>
      </w:r>
      <w:r w:rsidR="0037259A">
        <w:t>ies</w:t>
      </w:r>
      <w:r w:rsidRPr="007D5B82">
        <w:t xml:space="preserve">. Although their inflatables initially served as stage sets for World Expos, Hollywood films, bathing suit advertisements, infant enclosures, and seaside bachelor pads in </w:t>
      </w:r>
      <w:r w:rsidRPr="007D5B82">
        <w:rPr>
          <w:i/>
        </w:rPr>
        <w:t>Playboy</w:t>
      </w:r>
      <w:r w:rsidRPr="007D5B82">
        <w:t xml:space="preserve"> magazine, the architectural collective wasn’t simply interested in the spectacle of inflatables</w:t>
      </w:r>
      <w:r w:rsidR="00873F58">
        <w:t>.</w:t>
      </w:r>
      <w:r w:rsidRPr="007D5B82">
        <w:t xml:space="preserve"> </w:t>
      </w:r>
      <w:r w:rsidR="00873F58">
        <w:t>R</w:t>
      </w:r>
      <w:r w:rsidRPr="007D5B82">
        <w:t xml:space="preserve">ather, they had a rigorous agenda </w:t>
      </w:r>
      <w:r w:rsidR="00873F58">
        <w:t>that</w:t>
      </w:r>
      <w:r w:rsidR="00873F58" w:rsidRPr="007D5B82">
        <w:t xml:space="preserve"> </w:t>
      </w:r>
      <w:r w:rsidRPr="007D5B82">
        <w:t>involved not only the cultural performance of pneumatics</w:t>
      </w:r>
      <w:r w:rsidR="00873F58">
        <w:t>—</w:t>
      </w:r>
      <w:r w:rsidRPr="007D5B82">
        <w:t>namely, their construction in the media</w:t>
      </w:r>
      <w:r w:rsidR="00873F58">
        <w:t>—</w:t>
      </w:r>
      <w:r w:rsidR="00873F58" w:rsidRPr="007D5B82">
        <w:t>but</w:t>
      </w:r>
      <w:r w:rsidR="00873F58">
        <w:t>,</w:t>
      </w:r>
      <w:r w:rsidR="00873F58" w:rsidRPr="007D5B82">
        <w:t xml:space="preserve"> </w:t>
      </w:r>
      <w:r w:rsidR="00873F58">
        <w:t xml:space="preserve">more </w:t>
      </w:r>
      <w:r w:rsidRPr="007D5B82">
        <w:t>importantly</w:t>
      </w:r>
      <w:r w:rsidR="00873F58">
        <w:t>,</w:t>
      </w:r>
      <w:r w:rsidRPr="007D5B82">
        <w:t xml:space="preserve"> their technical performance (i.e., material, structural and environmental). As Valerio recounts, </w:t>
      </w:r>
    </w:p>
    <w:p w14:paraId="134852B4" w14:textId="77777777" w:rsidR="008E3592" w:rsidRPr="007D5B82" w:rsidRDefault="008E3592" w:rsidP="008E3592">
      <w:pPr>
        <w:pStyle w:val="Quotation"/>
        <w:spacing w:after="120"/>
      </w:pPr>
      <w:r w:rsidRPr="007D5B82">
        <w:rPr>
          <w:rFonts w:eastAsia="Calibri" w:cs="Calibri"/>
          <w:szCs w:val="18"/>
        </w:rPr>
        <w:t>I think what we were always trying to do is to make a leap from this romantic vision to something that actually worked. One of the freedoms you had at UCLA in an academic environment is you didn't have to really work it all out. Then when we were working for any of the Hollywood studios or for any of the commercial work that we were doing, that was a situation where we seriously had to get building permits and we had to make these environments really work.</w:t>
      </w:r>
      <w:r w:rsidRPr="007D5B82">
        <w:rPr>
          <w:rStyle w:val="EndnoteReference"/>
          <w:rFonts w:eastAsia="Calibri" w:cs="Calibri"/>
          <w:szCs w:val="18"/>
        </w:rPr>
        <w:endnoteReference w:id="26"/>
      </w:r>
      <w:r w:rsidRPr="007D5B82">
        <w:rPr>
          <w:rFonts w:eastAsia="Calibri" w:cs="Calibri"/>
          <w:szCs w:val="18"/>
        </w:rPr>
        <w:t xml:space="preserve"> </w:t>
      </w:r>
    </w:p>
    <w:p w14:paraId="58998866" w14:textId="15FE8BDD" w:rsidR="008E3592" w:rsidRPr="007D5B82" w:rsidRDefault="008E3592" w:rsidP="008E3592">
      <w:pPr>
        <w:rPr>
          <w:rFonts w:eastAsia="Calibri" w:cs="Calibri"/>
          <w:szCs w:val="20"/>
        </w:rPr>
      </w:pPr>
      <w:r w:rsidRPr="007D5B82">
        <w:t>A</w:t>
      </w:r>
      <w:r w:rsidRPr="007D5B82">
        <w:rPr>
          <w:rFonts w:eastAsia="Calibri" w:cs="Calibri"/>
          <w:szCs w:val="20"/>
        </w:rPr>
        <w:t>s young architects, the members of Chrysalis were committed to seeing their projects</w:t>
      </w:r>
      <w:r w:rsidR="005B5DC0">
        <w:rPr>
          <w:rFonts w:eastAsia="Calibri" w:cs="Calibri"/>
          <w:szCs w:val="20"/>
        </w:rPr>
        <w:t xml:space="preserve"> actualized</w:t>
      </w:r>
      <w:r w:rsidR="00BE75B1">
        <w:rPr>
          <w:rFonts w:eastAsia="Calibri" w:cs="Calibri"/>
          <w:szCs w:val="20"/>
        </w:rPr>
        <w:t>. F</w:t>
      </w:r>
      <w:r w:rsidRPr="007D5B82">
        <w:rPr>
          <w:rFonts w:eastAsia="Calibri" w:cs="Calibri"/>
          <w:szCs w:val="20"/>
        </w:rPr>
        <w:t>rom ideation to inhabitation</w:t>
      </w:r>
      <w:r w:rsidR="00BE75B1">
        <w:rPr>
          <w:rFonts w:eastAsia="Calibri" w:cs="Calibri"/>
          <w:szCs w:val="20"/>
        </w:rPr>
        <w:t xml:space="preserve">, </w:t>
      </w:r>
      <w:r w:rsidR="00663217">
        <w:rPr>
          <w:rFonts w:eastAsia="Calibri" w:cs="Calibri"/>
          <w:szCs w:val="20"/>
        </w:rPr>
        <w:t>the</w:t>
      </w:r>
      <w:r w:rsidR="004D5F40">
        <w:rPr>
          <w:rFonts w:eastAsia="Calibri" w:cs="Calibri"/>
          <w:szCs w:val="20"/>
        </w:rPr>
        <w:t>ir temporary experiments</w:t>
      </w:r>
      <w:r w:rsidR="00663217">
        <w:rPr>
          <w:rFonts w:eastAsia="Calibri" w:cs="Calibri"/>
          <w:szCs w:val="20"/>
        </w:rPr>
        <w:t xml:space="preserve"> not only challenged</w:t>
      </w:r>
      <w:r w:rsidRPr="007D5B82">
        <w:rPr>
          <w:rFonts w:eastAsia="Calibri" w:cs="Calibri"/>
          <w:szCs w:val="20"/>
        </w:rPr>
        <w:t xml:space="preserve"> </w:t>
      </w:r>
      <w:r w:rsidR="00663217">
        <w:rPr>
          <w:rFonts w:eastAsia="Calibri" w:cs="Calibri"/>
          <w:szCs w:val="20"/>
        </w:rPr>
        <w:t xml:space="preserve">conventional </w:t>
      </w:r>
      <w:r w:rsidR="004D5F40">
        <w:rPr>
          <w:rFonts w:eastAsia="Calibri" w:cs="Calibri"/>
          <w:szCs w:val="20"/>
        </w:rPr>
        <w:t>materials and methods of construction, but also raised new questions about the future of building</w:t>
      </w:r>
      <w:r w:rsidRPr="007D5B82">
        <w:rPr>
          <w:rFonts w:eastAsia="Calibri" w:cs="Calibri"/>
          <w:szCs w:val="20"/>
        </w:rPr>
        <w:t>.</w:t>
      </w:r>
    </w:p>
    <w:p w14:paraId="59362BF5" w14:textId="77777777" w:rsidR="00BE2A50" w:rsidRPr="007D5B82" w:rsidRDefault="00BE2A50" w:rsidP="00DC4E2E"/>
    <w:p w14:paraId="65F50BF2" w14:textId="1926A1CB" w:rsidR="006F28E8" w:rsidRPr="007D5B82" w:rsidRDefault="00DC7772" w:rsidP="00DC4E2E">
      <w:r w:rsidRPr="007D5B82">
        <w:t>Although Chrysalis formed in 1970, their pneumatic beginnings trace back to 1968</w:t>
      </w:r>
      <w:r w:rsidR="0037552E" w:rsidRPr="007D5B82">
        <w:t xml:space="preserve">, when </w:t>
      </w:r>
      <w:proofErr w:type="spellStart"/>
      <w:r w:rsidR="0037552E" w:rsidRPr="007D5B82">
        <w:t>EnviroLab</w:t>
      </w:r>
      <w:proofErr w:type="spellEnd"/>
      <w:r w:rsidR="0037552E" w:rsidRPr="007D5B82">
        <w:t xml:space="preserve"> members Alan Stanton and Chris Dawson collaborate</w:t>
      </w:r>
      <w:r w:rsidR="0081082F">
        <w:t>d</w:t>
      </w:r>
      <w:r w:rsidR="0037552E" w:rsidRPr="007D5B82">
        <w:t xml:space="preserve"> with a group of scientists and artists working with the Los Angeles division of Experiments in Art and Technology (E</w:t>
      </w:r>
      <w:r w:rsidR="00325560" w:rsidRPr="007D5B82">
        <w:t>.</w:t>
      </w:r>
      <w:r w:rsidR="0037552E" w:rsidRPr="007D5B82">
        <w:t>A</w:t>
      </w:r>
      <w:r w:rsidR="00325560" w:rsidRPr="007D5B82">
        <w:t>.</w:t>
      </w:r>
      <w:r w:rsidR="0037552E" w:rsidRPr="007D5B82">
        <w:t>T</w:t>
      </w:r>
      <w:r w:rsidR="00325560" w:rsidRPr="007D5B82">
        <w:t>.</w:t>
      </w:r>
      <w:r w:rsidR="0037552E" w:rsidRPr="007D5B82">
        <w:t>) on the inner theater of the Pepsi-Cola Pavilion for the 1970 World Expo in Osaka, Japan</w:t>
      </w:r>
      <w:r w:rsidR="00ED613A" w:rsidRPr="007D5B82">
        <w:t xml:space="preserve"> </w:t>
      </w:r>
      <w:r w:rsidR="00ED613A" w:rsidRPr="007D5B82">
        <w:rPr>
          <w:b/>
        </w:rPr>
        <w:t xml:space="preserve">(Fig. </w:t>
      </w:r>
      <w:r w:rsidR="00A539DA" w:rsidRPr="007D5B82">
        <w:rPr>
          <w:b/>
        </w:rPr>
        <w:t>3</w:t>
      </w:r>
      <w:r w:rsidR="00ED613A" w:rsidRPr="007D5B82">
        <w:rPr>
          <w:b/>
        </w:rPr>
        <w:t>)</w:t>
      </w:r>
      <w:r w:rsidR="00ED613A" w:rsidRPr="007D5B82">
        <w:t>.</w:t>
      </w:r>
      <w:r w:rsidR="0037552E" w:rsidRPr="007D5B82">
        <w:rPr>
          <w:rStyle w:val="EndnoteReference"/>
          <w:szCs w:val="20"/>
        </w:rPr>
        <w:endnoteReference w:id="27"/>
      </w:r>
      <w:r w:rsidR="007A0CC0" w:rsidRPr="007D5B82">
        <w:t xml:space="preserve"> An enormous, </w:t>
      </w:r>
      <w:r w:rsidR="0097775C" w:rsidRPr="007D5B82">
        <w:t>90-foot</w:t>
      </w:r>
      <w:r w:rsidR="007A0CC0" w:rsidRPr="007D5B82">
        <w:t xml:space="preserve"> diameter </w:t>
      </w:r>
      <w:r w:rsidR="0037552E" w:rsidRPr="007D5B82">
        <w:t>dome-shaped pneumati</w:t>
      </w:r>
      <w:r w:rsidR="008D0710" w:rsidRPr="007D5B82">
        <w:t>c structure comprised of Mylar</w:t>
      </w:r>
      <w:r w:rsidR="00952FFA" w:rsidRPr="007D5B82">
        <w:t>,</w:t>
      </w:r>
      <w:r w:rsidR="00BA0AB5" w:rsidRPr="007D5B82">
        <w:rPr>
          <w:rStyle w:val="EndnoteReference"/>
        </w:rPr>
        <w:endnoteReference w:id="28"/>
      </w:r>
      <w:r w:rsidR="00952FFA" w:rsidRPr="007D5B82">
        <w:t xml:space="preserve"> and </w:t>
      </w:r>
      <w:r w:rsidR="008D0710" w:rsidRPr="007D5B82">
        <w:t>conceived by the artist Robert Whitman</w:t>
      </w:r>
      <w:r w:rsidR="00952FFA" w:rsidRPr="007D5B82">
        <w:t xml:space="preserve">, </w:t>
      </w:r>
      <w:r w:rsidR="0037552E" w:rsidRPr="007D5B82">
        <w:t xml:space="preserve">Stanton </w:t>
      </w:r>
      <w:r w:rsidR="0037552E" w:rsidRPr="007D5B82">
        <w:lastRenderedPageBreak/>
        <w:t xml:space="preserve">and Dawson </w:t>
      </w:r>
      <w:r w:rsidR="0081082F">
        <w:t>were</w:t>
      </w:r>
      <w:r w:rsidR="0081082F" w:rsidRPr="007D5B82">
        <w:t xml:space="preserve"> </w:t>
      </w:r>
      <w:r w:rsidR="0037552E" w:rsidRPr="007D5B82">
        <w:t xml:space="preserve">the </w:t>
      </w:r>
      <w:r w:rsidR="0044080C" w:rsidRPr="007D5B82">
        <w:t xml:space="preserve">interim </w:t>
      </w:r>
      <w:r w:rsidR="0037552E" w:rsidRPr="007D5B82">
        <w:t>go-to experts on how to actually construct the mirrored i</w:t>
      </w:r>
      <w:r w:rsidR="00E33791" w:rsidRPr="007D5B82">
        <w:t>nflatable</w:t>
      </w:r>
      <w:r w:rsidR="008468F9">
        <w:t>.</w:t>
      </w:r>
      <w:r w:rsidR="00044628" w:rsidRPr="007D5B82">
        <w:rPr>
          <w:rStyle w:val="EndnoteReference"/>
          <w:szCs w:val="20"/>
        </w:rPr>
        <w:endnoteReference w:id="29"/>
      </w:r>
      <w:r w:rsidR="00044628" w:rsidRPr="007D5B82">
        <w:t xml:space="preserve"> </w:t>
      </w:r>
      <w:r w:rsidR="00D4545D" w:rsidRPr="007D5B82">
        <w:rPr>
          <w:i/>
        </w:rPr>
        <w:t xml:space="preserve">Mirror Dome </w:t>
      </w:r>
      <w:r w:rsidR="00D4545D" w:rsidRPr="007D5B82">
        <w:t xml:space="preserve">(1968-70) was </w:t>
      </w:r>
      <w:r w:rsidR="00050996" w:rsidRPr="007D5B82">
        <w:t xml:space="preserve">initially </w:t>
      </w:r>
      <w:r w:rsidR="00D4545D" w:rsidRPr="007D5B82">
        <w:t xml:space="preserve">prototyped </w:t>
      </w:r>
      <w:r w:rsidR="00104A55" w:rsidRPr="007D5B82">
        <w:t>at a smaller scale</w:t>
      </w:r>
      <w:r w:rsidR="005B089E" w:rsidRPr="007D5B82">
        <w:t xml:space="preserve">: </w:t>
      </w:r>
      <w:r w:rsidR="00050996" w:rsidRPr="007D5B82">
        <w:t>two 20-foot diameter air-structure models</w:t>
      </w:r>
      <w:r w:rsidR="005B089E" w:rsidRPr="007D5B82">
        <w:t xml:space="preserve"> constructed </w:t>
      </w:r>
      <w:r w:rsidR="00104A55" w:rsidRPr="007D5B82">
        <w:t xml:space="preserve">on </w:t>
      </w:r>
      <w:r w:rsidR="005B089E" w:rsidRPr="007D5B82">
        <w:t>a donated</w:t>
      </w:r>
      <w:r w:rsidR="00104A55" w:rsidRPr="007D5B82">
        <w:t xml:space="preserve"> soundstage </w:t>
      </w:r>
      <w:r w:rsidR="005B089E" w:rsidRPr="007D5B82">
        <w:t>at</w:t>
      </w:r>
      <w:r w:rsidR="00104A55" w:rsidRPr="007D5B82">
        <w:t xml:space="preserve"> M</w:t>
      </w:r>
      <w:r w:rsidR="00050996" w:rsidRPr="007D5B82">
        <w:t xml:space="preserve">GM studios in </w:t>
      </w:r>
      <w:r w:rsidR="005B089E" w:rsidRPr="007D5B82">
        <w:t>Culver Ci</w:t>
      </w:r>
      <w:r w:rsidR="006F28E8" w:rsidRPr="007D5B82">
        <w:t>ty</w:t>
      </w:r>
      <w:r w:rsidR="00050996" w:rsidRPr="007D5B82">
        <w:t>.</w:t>
      </w:r>
      <w:r w:rsidR="005B089E" w:rsidRPr="007D5B82">
        <w:rPr>
          <w:rStyle w:val="EndnoteReference"/>
        </w:rPr>
        <w:endnoteReference w:id="30"/>
      </w:r>
      <w:r w:rsidR="00050996" w:rsidRPr="007D5B82">
        <w:t xml:space="preserve"> According to </w:t>
      </w:r>
      <w:r w:rsidR="001A1CE4">
        <w:t xml:space="preserve">electrical engineer and scientific journalist </w:t>
      </w:r>
      <w:proofErr w:type="spellStart"/>
      <w:r w:rsidR="00050996" w:rsidRPr="007D5B82">
        <w:t>Nilo</w:t>
      </w:r>
      <w:proofErr w:type="spellEnd"/>
      <w:r w:rsidR="00050996" w:rsidRPr="007D5B82">
        <w:t xml:space="preserve"> Lindgren, “The group [</w:t>
      </w:r>
      <w:proofErr w:type="spellStart"/>
      <w:r w:rsidR="00050996" w:rsidRPr="007D5B82">
        <w:t>Envirolab</w:t>
      </w:r>
      <w:proofErr w:type="spellEnd"/>
      <w:r w:rsidR="00050996" w:rsidRPr="007D5B82">
        <w:t>] actually did all the work themselves, laminating boards, constructing the gore patterns and taping them together to create the hemisphere.”</w:t>
      </w:r>
      <w:r w:rsidR="00050996" w:rsidRPr="007D5B82">
        <w:rPr>
          <w:rStyle w:val="EndnoteReference"/>
        </w:rPr>
        <w:endnoteReference w:id="31"/>
      </w:r>
      <w:r w:rsidR="00050996" w:rsidRPr="007D5B82">
        <w:t xml:space="preserve"> </w:t>
      </w:r>
      <w:r w:rsidR="00D4545D" w:rsidRPr="007D5B82">
        <w:t xml:space="preserve">Although </w:t>
      </w:r>
      <w:proofErr w:type="spellStart"/>
      <w:r w:rsidR="00D4545D" w:rsidRPr="007D5B82">
        <w:t>Envirolab</w:t>
      </w:r>
      <w:proofErr w:type="spellEnd"/>
      <w:r w:rsidR="00D4545D" w:rsidRPr="007D5B82">
        <w:t xml:space="preserve"> was able to deliver a technically resolved mirrored pneumatic </w:t>
      </w:r>
      <w:r w:rsidR="00050996" w:rsidRPr="007D5B82">
        <w:t>dome at this smaller scale</w:t>
      </w:r>
      <w:r w:rsidR="00D4545D" w:rsidRPr="007D5B82">
        <w:t xml:space="preserve">, production of the final inner-theater </w:t>
      </w:r>
      <w:r w:rsidR="00FD477F" w:rsidRPr="007D5B82">
        <w:t xml:space="preserve">was turned over to </w:t>
      </w:r>
      <w:r w:rsidR="00D4545D" w:rsidRPr="007D5B82">
        <w:t xml:space="preserve">G.T. </w:t>
      </w:r>
      <w:proofErr w:type="spellStart"/>
      <w:r w:rsidR="00D4545D" w:rsidRPr="007D5B82">
        <w:t>Schlajdehal</w:t>
      </w:r>
      <w:proofErr w:type="spellEnd"/>
      <w:r w:rsidR="00D4545D" w:rsidRPr="007D5B82">
        <w:t xml:space="preserve">—a military contractor who had </w:t>
      </w:r>
      <w:r w:rsidR="00104A55" w:rsidRPr="007D5B82">
        <w:t xml:space="preserve">recently </w:t>
      </w:r>
      <w:r w:rsidR="00D4545D" w:rsidRPr="007D5B82">
        <w:t>produced PAGEOS, an inflatable satellite for NASA</w:t>
      </w:r>
      <w:r w:rsidR="00FD477F" w:rsidRPr="007D5B82">
        <w:t>.</w:t>
      </w:r>
      <w:r w:rsidR="00104A55" w:rsidRPr="007D5B82">
        <w:rPr>
          <w:rStyle w:val="EndnoteReference"/>
        </w:rPr>
        <w:endnoteReference w:id="32"/>
      </w:r>
      <w:r w:rsidR="00D4545D" w:rsidRPr="007D5B82">
        <w:t xml:space="preserve"> </w:t>
      </w:r>
    </w:p>
    <w:p w14:paraId="67B32CBC" w14:textId="77777777" w:rsidR="00DE55A6" w:rsidRDefault="00DE55A6" w:rsidP="00DC4E2E"/>
    <w:p w14:paraId="5F1AB852" w14:textId="3417F7A0" w:rsidR="00DC7772" w:rsidRPr="007D5B82" w:rsidRDefault="005B089E" w:rsidP="00DC4E2E">
      <w:r w:rsidRPr="007D5B82">
        <w:t xml:space="preserve">In an attempt to prevent structural failure and to achieve optimum optical effects, </w:t>
      </w:r>
      <w:r w:rsidR="00D4545D" w:rsidRPr="007D5B82">
        <w:t>the logic of the pneumatic was inverted</w:t>
      </w:r>
      <w:r w:rsidRPr="007D5B82">
        <w:t>:</w:t>
      </w:r>
      <w:r w:rsidR="00D4545D" w:rsidRPr="007D5B82">
        <w:t xml:space="preserve"> rather than being inflated, </w:t>
      </w:r>
      <w:r w:rsidRPr="007D5B82">
        <w:t xml:space="preserve">the inner-theater </w:t>
      </w:r>
      <w:r w:rsidR="00D4545D" w:rsidRPr="007D5B82">
        <w:t xml:space="preserve">employed negative pressure </w:t>
      </w:r>
      <w:r w:rsidRPr="007D5B82">
        <w:t xml:space="preserve">technology </w:t>
      </w:r>
      <w:r w:rsidR="00D4545D" w:rsidRPr="007D5B82">
        <w:t>(i.e., a vacuum effect</w:t>
      </w:r>
      <w:r w:rsidRPr="007D5B82">
        <w:t>).</w:t>
      </w:r>
      <w:r w:rsidR="00104A55" w:rsidRPr="007D5B82">
        <w:t xml:space="preserve"> </w:t>
      </w:r>
      <w:r w:rsidR="00FD477F" w:rsidRPr="007D5B82">
        <w:t xml:space="preserve">As Billy </w:t>
      </w:r>
      <w:proofErr w:type="spellStart"/>
      <w:r w:rsidR="00FD477F" w:rsidRPr="007D5B82">
        <w:t>Klüver</w:t>
      </w:r>
      <w:proofErr w:type="spellEnd"/>
      <w:r w:rsidR="00FD477F" w:rsidRPr="007D5B82">
        <w:t xml:space="preserve">, head of the E.A.T. group and overseer of the pavilion’s conception and actualization recounts, “The Mirror was the largest spherical mirror ever made and was the first use of a </w:t>
      </w:r>
      <w:proofErr w:type="spellStart"/>
      <w:r w:rsidR="00FD477F" w:rsidRPr="007D5B82">
        <w:t>Melinex</w:t>
      </w:r>
      <w:proofErr w:type="spellEnd"/>
      <w:r w:rsidR="00FD477F" w:rsidRPr="007D5B82">
        <w:t>, negative-pressure, air structure.”</w:t>
      </w:r>
      <w:r w:rsidR="00FD477F" w:rsidRPr="007D5B82">
        <w:rPr>
          <w:rStyle w:val="EndnoteReference"/>
        </w:rPr>
        <w:endnoteReference w:id="33"/>
      </w:r>
      <w:r w:rsidR="00FD477F" w:rsidRPr="007D5B82">
        <w:t xml:space="preserve"> </w:t>
      </w:r>
      <w:r w:rsidR="00504C57" w:rsidRPr="007D5B82">
        <w:t xml:space="preserve">After some trial and error tests in a blimp hangar at the Marine Corps Air Station in </w:t>
      </w:r>
      <w:r w:rsidR="00520E80" w:rsidRPr="007D5B82">
        <w:t>Santa Ana</w:t>
      </w:r>
      <w:r w:rsidR="00504C57" w:rsidRPr="007D5B82">
        <w:t>, the full-scale mockup convinced E.A.T. to move forward with its fabrication in Japan. The final mirrored dome was inflated</w:t>
      </w:r>
      <w:r w:rsidR="00325560" w:rsidRPr="007D5B82">
        <w:t xml:space="preserve"> inside the primary pavilion structure—a </w:t>
      </w:r>
      <w:r w:rsidR="00FD477F" w:rsidRPr="007D5B82">
        <w:t>12</w:t>
      </w:r>
      <w:r w:rsidR="00504C57" w:rsidRPr="007D5B82">
        <w:t>0-</w:t>
      </w:r>
      <w:r w:rsidR="00325560" w:rsidRPr="007D5B82">
        <w:t xml:space="preserve">foot diameter faceted dome, designed by </w:t>
      </w:r>
      <w:r w:rsidR="00325560" w:rsidRPr="007D5B82">
        <w:rPr>
          <w:rFonts w:cs="Georgia"/>
        </w:rPr>
        <w:t xml:space="preserve">Japanese architect Tadashi </w:t>
      </w:r>
      <w:proofErr w:type="spellStart"/>
      <w:r w:rsidR="00325560" w:rsidRPr="007D5B82">
        <w:rPr>
          <w:rFonts w:cs="Georgia"/>
        </w:rPr>
        <w:t>Doi</w:t>
      </w:r>
      <w:proofErr w:type="spellEnd"/>
      <w:r w:rsidR="001C4165" w:rsidRPr="007D5B82">
        <w:rPr>
          <w:rFonts w:cs="Georgia"/>
        </w:rPr>
        <w:t xml:space="preserve">—whose exterior was engulfed in </w:t>
      </w:r>
      <w:r w:rsidR="006931FA" w:rsidRPr="007D5B82">
        <w:rPr>
          <w:rFonts w:cs="Georgia"/>
        </w:rPr>
        <w:t xml:space="preserve">an artificial cloud, </w:t>
      </w:r>
      <w:r w:rsidR="00A94CAD" w:rsidRPr="007D5B82">
        <w:rPr>
          <w:rFonts w:cs="Georgia"/>
        </w:rPr>
        <w:t>created</w:t>
      </w:r>
      <w:r w:rsidR="006931FA" w:rsidRPr="007D5B82">
        <w:rPr>
          <w:rFonts w:cs="Georgia"/>
        </w:rPr>
        <w:t xml:space="preserve"> by artist Fujiko </w:t>
      </w:r>
      <w:proofErr w:type="spellStart"/>
      <w:r w:rsidR="006931FA" w:rsidRPr="007D5B82">
        <w:rPr>
          <w:rFonts w:cs="Georgia"/>
        </w:rPr>
        <w:t>Nakaya</w:t>
      </w:r>
      <w:proofErr w:type="spellEnd"/>
      <w:r w:rsidR="006931FA" w:rsidRPr="007D5B82">
        <w:rPr>
          <w:rFonts w:cs="Georgia"/>
        </w:rPr>
        <w:t xml:space="preserve"> and physicist Thomas Lee</w:t>
      </w:r>
      <w:r w:rsidR="0037552E" w:rsidRPr="007D5B82">
        <w:t>.</w:t>
      </w:r>
      <w:r w:rsidR="00325560" w:rsidRPr="007D5B82">
        <w:rPr>
          <w:rStyle w:val="EndnoteReference"/>
          <w:szCs w:val="20"/>
        </w:rPr>
        <w:endnoteReference w:id="34"/>
      </w:r>
      <w:r w:rsidR="0037552E" w:rsidRPr="007D5B82">
        <w:t xml:space="preserve"> </w:t>
      </w:r>
      <w:r w:rsidR="007A0CC0" w:rsidRPr="007D5B82">
        <w:t>The result was an</w:t>
      </w:r>
      <w:r w:rsidR="006931FA" w:rsidRPr="007D5B82">
        <w:t xml:space="preserve"> immersive multimedia experience—referred to by E.A.T. as a “living responsive environment”—</w:t>
      </w:r>
      <w:r w:rsidR="006931FA" w:rsidRPr="002B3BBA">
        <w:t>that</w:t>
      </w:r>
      <w:r w:rsidR="006931FA" w:rsidRPr="007D5B82">
        <w:t xml:space="preserve"> dissolved the boundaries between art, architecture, and technology</w:t>
      </w:r>
      <w:r w:rsidR="002B3BBA">
        <w:t xml:space="preserve"> </w:t>
      </w:r>
      <w:r w:rsidR="002B3BBA" w:rsidRPr="007D5B82">
        <w:t>through multiple interventions and collaborations</w:t>
      </w:r>
      <w:r w:rsidR="00A94CAD" w:rsidRPr="007D5B82">
        <w:t xml:space="preserve"> </w:t>
      </w:r>
      <w:r w:rsidR="00A847C5" w:rsidRPr="007D5B82">
        <w:rPr>
          <w:b/>
        </w:rPr>
        <w:t xml:space="preserve">(Fig. </w:t>
      </w:r>
      <w:r w:rsidR="00F346E2">
        <w:rPr>
          <w:b/>
        </w:rPr>
        <w:t>4</w:t>
      </w:r>
      <w:r w:rsidR="00A94CAD" w:rsidRPr="007D5B82">
        <w:rPr>
          <w:b/>
        </w:rPr>
        <w:t>)</w:t>
      </w:r>
      <w:r w:rsidR="006931FA" w:rsidRPr="007D5B82">
        <w:t>.</w:t>
      </w:r>
      <w:r w:rsidR="00D57B6A" w:rsidRPr="007D5B82">
        <w:rPr>
          <w:rStyle w:val="EndnoteReference"/>
          <w:szCs w:val="20"/>
        </w:rPr>
        <w:endnoteReference w:id="35"/>
      </w:r>
      <w:r w:rsidR="006931FA" w:rsidRPr="007D5B82">
        <w:t xml:space="preserve"> </w:t>
      </w:r>
      <w:r w:rsidR="008D0710" w:rsidRPr="007D5B82">
        <w:t xml:space="preserve">Although Stanton and Dawson </w:t>
      </w:r>
      <w:r w:rsidR="00504C57" w:rsidRPr="007D5B82">
        <w:t>were not responsible for the final</w:t>
      </w:r>
      <w:r w:rsidR="002B3BBA">
        <w:t xml:space="preserve"> </w:t>
      </w:r>
      <w:r w:rsidR="002B3BBA" w:rsidRPr="007D5B82">
        <w:t>construction</w:t>
      </w:r>
      <w:r w:rsidR="002B3BBA">
        <w:t xml:space="preserve"> of the</w:t>
      </w:r>
      <w:r w:rsidR="00504C57" w:rsidRPr="007D5B82">
        <w:t xml:space="preserve"> inner</w:t>
      </w:r>
      <w:r w:rsidR="002B3BBA">
        <w:t>-</w:t>
      </w:r>
      <w:r w:rsidR="00504C57" w:rsidRPr="007D5B82">
        <w:t xml:space="preserve">theater, </w:t>
      </w:r>
      <w:r w:rsidR="00A94CAD" w:rsidRPr="007D5B82">
        <w:t xml:space="preserve">word of </w:t>
      </w:r>
      <w:r w:rsidR="00ED613A" w:rsidRPr="007D5B82">
        <w:t>their ability to technically</w:t>
      </w:r>
      <w:r w:rsidR="007A0CC0" w:rsidRPr="007D5B82">
        <w:t xml:space="preserve"> solve the structural, material</w:t>
      </w:r>
      <w:r w:rsidR="00DE55A6">
        <w:t>,</w:t>
      </w:r>
      <w:r w:rsidR="00ED613A" w:rsidRPr="007D5B82">
        <w:t xml:space="preserve"> and atmospheric logistics of the </w:t>
      </w:r>
      <w:r w:rsidR="00504C57" w:rsidRPr="007D5B82">
        <w:t>mirrored inflatable</w:t>
      </w:r>
      <w:r w:rsidR="00ED613A" w:rsidRPr="007D5B82">
        <w:t xml:space="preserve"> led to</w:t>
      </w:r>
      <w:r w:rsidR="002B3BBA">
        <w:t xml:space="preserve"> yet</w:t>
      </w:r>
      <w:r w:rsidR="00ED613A" w:rsidRPr="007D5B82">
        <w:t xml:space="preserve"> another commission.</w:t>
      </w:r>
      <w:r w:rsidR="00242496">
        <w:rPr>
          <w:rStyle w:val="EndnoteReference"/>
        </w:rPr>
        <w:endnoteReference w:id="36"/>
      </w:r>
      <w:r w:rsidR="00ED613A" w:rsidRPr="007D5B82">
        <w:t xml:space="preserve"> </w:t>
      </w:r>
    </w:p>
    <w:p w14:paraId="035C3A2A" w14:textId="77777777" w:rsidR="00666E0F" w:rsidRPr="007D5B82" w:rsidRDefault="00666E0F" w:rsidP="00666E0F"/>
    <w:p w14:paraId="2E99604B" w14:textId="1A020FD3" w:rsidR="00D44696" w:rsidRPr="007D5B82" w:rsidRDefault="00677859" w:rsidP="00D44696">
      <w:r w:rsidRPr="007D5B82">
        <w:t xml:space="preserve">In 1970, </w:t>
      </w:r>
      <w:r w:rsidR="008D0710" w:rsidRPr="007D5B82">
        <w:t xml:space="preserve">Chrysalis </w:t>
      </w:r>
      <w:r w:rsidR="00BB24A3" w:rsidRPr="007D5B82">
        <w:t xml:space="preserve">designed and fabricated </w:t>
      </w:r>
      <w:r w:rsidR="00124F0A" w:rsidRPr="007D5B82">
        <w:rPr>
          <w:i/>
        </w:rPr>
        <w:t>Myra Dome</w:t>
      </w:r>
      <w:r w:rsidR="009A1C73" w:rsidRPr="007D5B82">
        <w:rPr>
          <w:i/>
        </w:rPr>
        <w:t>,</w:t>
      </w:r>
      <w:r w:rsidR="00124F0A" w:rsidRPr="007D5B82">
        <w:t xml:space="preserve"> </w:t>
      </w:r>
      <w:r w:rsidR="008D0710" w:rsidRPr="007D5B82">
        <w:t xml:space="preserve">a </w:t>
      </w:r>
      <w:r w:rsidR="00BB24A3" w:rsidRPr="007D5B82">
        <w:t xml:space="preserve">mirrored pneumatic dome for the film </w:t>
      </w:r>
      <w:r w:rsidR="00BB24A3" w:rsidRPr="007D5B82">
        <w:rPr>
          <w:i/>
        </w:rPr>
        <w:t>Myra Breckinridge</w:t>
      </w:r>
      <w:r w:rsidR="001B14BD">
        <w:rPr>
          <w:i/>
        </w:rPr>
        <w:t xml:space="preserve"> </w:t>
      </w:r>
      <w:r w:rsidR="001B14BD" w:rsidRPr="007D5B82">
        <w:rPr>
          <w:b/>
        </w:rPr>
        <w:t xml:space="preserve">(Fig. </w:t>
      </w:r>
      <w:r w:rsidR="001B14BD">
        <w:rPr>
          <w:b/>
        </w:rPr>
        <w:t>5</w:t>
      </w:r>
      <w:r w:rsidR="001B14BD" w:rsidRPr="007D5B82">
        <w:rPr>
          <w:b/>
        </w:rPr>
        <w:t>)</w:t>
      </w:r>
      <w:r w:rsidR="00BB24A3" w:rsidRPr="007D5B82">
        <w:t>.</w:t>
      </w:r>
      <w:r w:rsidR="008D0710" w:rsidRPr="007D5B82">
        <w:rPr>
          <w:rStyle w:val="EndnoteReference"/>
          <w:szCs w:val="20"/>
        </w:rPr>
        <w:endnoteReference w:id="37"/>
      </w:r>
      <w:r w:rsidR="003C5566" w:rsidRPr="007D5B82">
        <w:t xml:space="preserve"> Directed by Mike </w:t>
      </w:r>
      <w:proofErr w:type="spellStart"/>
      <w:r w:rsidR="003C5566" w:rsidRPr="007D5B82">
        <w:t>Sarne</w:t>
      </w:r>
      <w:proofErr w:type="spellEnd"/>
      <w:r w:rsidR="003C5566" w:rsidRPr="007D5B82">
        <w:t xml:space="preserve"> and based on Gore Vidal’s 1968 novel of the same name, </w:t>
      </w:r>
      <w:r w:rsidR="00BD4D4F" w:rsidRPr="007D5B82">
        <w:t>the film is about a man named Myron Breckinridge (played by Rex Reed), who has a sex change and becomes Myra Bre</w:t>
      </w:r>
      <w:r w:rsidR="00952FFA" w:rsidRPr="007D5B82">
        <w:t>ckinridge (played by Raquel Welc</w:t>
      </w:r>
      <w:r w:rsidR="00BD4D4F" w:rsidRPr="007D5B82">
        <w:t>h).</w:t>
      </w:r>
      <w:r w:rsidR="003C5566" w:rsidRPr="007D5B82">
        <w:rPr>
          <w:rStyle w:val="EndnoteReference"/>
          <w:szCs w:val="20"/>
        </w:rPr>
        <w:endnoteReference w:id="38"/>
      </w:r>
      <w:r w:rsidR="00952FFA" w:rsidRPr="007D5B82">
        <w:t xml:space="preserve"> The</w:t>
      </w:r>
      <w:r w:rsidR="00BF3AFF" w:rsidRPr="007D5B82">
        <w:t xml:space="preserve"> </w:t>
      </w:r>
      <w:r w:rsidR="00FF5CB6" w:rsidRPr="007D5B82">
        <w:t xml:space="preserve">enormous </w:t>
      </w:r>
      <w:r w:rsidR="00BF3AFF" w:rsidRPr="007D5B82">
        <w:t xml:space="preserve">pneumatic set contributed a psychedelic flair to key scenes in </w:t>
      </w:r>
      <w:r w:rsidR="00152FAF" w:rsidRPr="007D5B82">
        <w:t xml:space="preserve">the </w:t>
      </w:r>
      <w:r w:rsidR="00952FFA" w:rsidRPr="007D5B82">
        <w:t xml:space="preserve">roundly maligned </w:t>
      </w:r>
      <w:r w:rsidR="00BF3AFF" w:rsidRPr="007D5B82">
        <w:t>film</w:t>
      </w:r>
      <w:r w:rsidR="001B14BD">
        <w:t>.</w:t>
      </w:r>
      <w:r w:rsidR="00F3611E" w:rsidRPr="007D5B82">
        <w:rPr>
          <w:rStyle w:val="EndnoteReference"/>
          <w:szCs w:val="20"/>
        </w:rPr>
        <w:endnoteReference w:id="39"/>
      </w:r>
      <w:r w:rsidR="00F3611E" w:rsidRPr="007D5B82">
        <w:t xml:space="preserve"> </w:t>
      </w:r>
      <w:r w:rsidR="00D44696" w:rsidRPr="007D5B82">
        <w:t>Clearly borrowing from the material, structural</w:t>
      </w:r>
      <w:r w:rsidR="00DE55A6">
        <w:t>,</w:t>
      </w:r>
      <w:r w:rsidR="00D44696" w:rsidRPr="007D5B82">
        <w:t xml:space="preserve"> and technical logic of the inner</w:t>
      </w:r>
      <w:r w:rsidR="00D07D5E">
        <w:t>-</w:t>
      </w:r>
      <w:r w:rsidR="00D44696" w:rsidRPr="007D5B82">
        <w:t xml:space="preserve">theater at Expo ’70, </w:t>
      </w:r>
      <w:r w:rsidR="00D44696" w:rsidRPr="007D5B82">
        <w:rPr>
          <w:i/>
        </w:rPr>
        <w:t>Myra Dome</w:t>
      </w:r>
      <w:r w:rsidR="00D44696" w:rsidRPr="007D5B82">
        <w:t xml:space="preserve"> allowed</w:t>
      </w:r>
      <w:r w:rsidR="00DE55A6">
        <w:t xml:space="preserve"> Chrysalis</w:t>
      </w:r>
      <w:r w:rsidR="00D44696" w:rsidRPr="007D5B82">
        <w:t xml:space="preserve"> to execute their </w:t>
      </w:r>
      <w:r w:rsidR="00D07D5E">
        <w:t xml:space="preserve">previous </w:t>
      </w:r>
      <w:r w:rsidR="00D44696" w:rsidRPr="007D5B82">
        <w:t xml:space="preserve">20-foot diameter dome mockups for Osaka at </w:t>
      </w:r>
      <w:r w:rsidR="00641393" w:rsidRPr="007D5B82">
        <w:t xml:space="preserve">the intended </w:t>
      </w:r>
      <w:r w:rsidR="00D44696" w:rsidRPr="007D5B82">
        <w:t xml:space="preserve">full scale, further advancing their architectural experimentation into the realms of both technical (aerospace) and cultural (entertainment industry) performance. </w:t>
      </w:r>
    </w:p>
    <w:p w14:paraId="6D451460" w14:textId="77777777" w:rsidR="00D44696" w:rsidRPr="007D5B82" w:rsidRDefault="00D44696" w:rsidP="00952FFA"/>
    <w:p w14:paraId="11C4F39D" w14:textId="3C13BFBF" w:rsidR="009D56C6" w:rsidRPr="007A711C" w:rsidRDefault="00952FFA" w:rsidP="007A711C">
      <w:pPr>
        <w:rPr>
          <w:szCs w:val="20"/>
        </w:rPr>
      </w:pPr>
      <w:r w:rsidRPr="007D5B82">
        <w:lastRenderedPageBreak/>
        <w:t>T</w:t>
      </w:r>
      <w:r w:rsidR="0093390F" w:rsidRPr="007D5B82">
        <w:t xml:space="preserve">he next </w:t>
      </w:r>
      <w:r w:rsidR="004430BB" w:rsidRPr="007D5B82">
        <w:t xml:space="preserve">pneumatic </w:t>
      </w:r>
      <w:r w:rsidR="00FF5CB6" w:rsidRPr="007D5B82">
        <w:t>set</w:t>
      </w:r>
      <w:r w:rsidR="0093390F" w:rsidRPr="007D5B82">
        <w:t xml:space="preserve"> designed by Chrysalis was </w:t>
      </w:r>
      <w:r w:rsidR="00D144AB" w:rsidRPr="007D5B82">
        <w:rPr>
          <w:i/>
        </w:rPr>
        <w:t xml:space="preserve">Dodecahedron </w:t>
      </w:r>
      <w:r w:rsidR="00D144AB" w:rsidRPr="007D5B82">
        <w:t xml:space="preserve">(1970), </w:t>
      </w:r>
      <w:r w:rsidR="008635D0" w:rsidRPr="007D5B82">
        <w:t xml:space="preserve">a hybrid structure </w:t>
      </w:r>
      <w:r w:rsidR="0093390F" w:rsidRPr="007D5B82">
        <w:t>comprised of</w:t>
      </w:r>
      <w:r w:rsidR="00D144AB" w:rsidRPr="007D5B82">
        <w:t xml:space="preserve"> a metal frame with in</w:t>
      </w:r>
      <w:r w:rsidR="00D50147" w:rsidRPr="007D5B82">
        <w:t xml:space="preserve">fill panels of </w:t>
      </w:r>
      <w:r w:rsidR="00D07D5E" w:rsidRPr="007D5B82">
        <w:t xml:space="preserve">inflated </w:t>
      </w:r>
      <w:r w:rsidR="00D50147" w:rsidRPr="007D5B82">
        <w:t>mirrored Mylar</w:t>
      </w:r>
      <w:r w:rsidR="00DF5E61" w:rsidRPr="007D5B82">
        <w:t xml:space="preserve"> </w:t>
      </w:r>
      <w:r w:rsidR="00DF5E61" w:rsidRPr="007D5B82">
        <w:rPr>
          <w:b/>
        </w:rPr>
        <w:t xml:space="preserve">(Fig. </w:t>
      </w:r>
      <w:r w:rsidR="00F346E2">
        <w:rPr>
          <w:b/>
        </w:rPr>
        <w:t>6</w:t>
      </w:r>
      <w:r w:rsidR="00DF5E61" w:rsidRPr="007D5B82">
        <w:rPr>
          <w:b/>
        </w:rPr>
        <w:t>)</w:t>
      </w:r>
      <w:r w:rsidR="00D50147" w:rsidRPr="007D5B82">
        <w:t>.</w:t>
      </w:r>
      <w:r w:rsidR="007A4F18" w:rsidRPr="007D5B82">
        <w:rPr>
          <w:rStyle w:val="EndnoteReference"/>
          <w:szCs w:val="20"/>
        </w:rPr>
        <w:endnoteReference w:id="40"/>
      </w:r>
      <w:r w:rsidR="00D50147" w:rsidRPr="007D5B82">
        <w:t xml:space="preserve"> Commissioned by </w:t>
      </w:r>
      <w:proofErr w:type="spellStart"/>
      <w:r w:rsidR="00D50147" w:rsidRPr="007D5B82">
        <w:t>Jantzen</w:t>
      </w:r>
      <w:proofErr w:type="spellEnd"/>
      <w:r w:rsidR="00D50147" w:rsidRPr="007D5B82">
        <w:t xml:space="preserve">, </w:t>
      </w:r>
      <w:r w:rsidR="00661FBB" w:rsidRPr="007D5B82">
        <w:t xml:space="preserve">a women’s swimwear company, </w:t>
      </w:r>
      <w:r w:rsidR="00D50147" w:rsidRPr="007D5B82">
        <w:t>it was c</w:t>
      </w:r>
      <w:r w:rsidR="00D144AB" w:rsidRPr="007D5B82">
        <w:t xml:space="preserve">onceived as a </w:t>
      </w:r>
      <w:r w:rsidR="00D50147" w:rsidRPr="007D5B82">
        <w:t>stage to photograph their new swimsuit collection.</w:t>
      </w:r>
      <w:r w:rsidR="000936E5" w:rsidRPr="007D5B82">
        <w:rPr>
          <w:rStyle w:val="EndnoteReference"/>
        </w:rPr>
        <w:endnoteReference w:id="41"/>
      </w:r>
      <w:r w:rsidR="00D50147" w:rsidRPr="007D5B82">
        <w:t xml:space="preserve"> </w:t>
      </w:r>
      <w:r w:rsidR="007A4F18" w:rsidRPr="007D5B82">
        <w:t xml:space="preserve">A polyhedron with twelve flat faces, it evoked the geometry and ethos of Fuller’s lightweight geodesic domes with the pop playfulness of Andy Warhol’s silver-lined Factory. </w:t>
      </w:r>
      <w:r w:rsidR="00670523">
        <w:t>Instead of</w:t>
      </w:r>
      <w:r w:rsidR="007A4F18" w:rsidRPr="007B27C3">
        <w:t xml:space="preserve"> a flimsy and </w:t>
      </w:r>
      <w:r w:rsidR="008635D0" w:rsidRPr="007B27C3">
        <w:t>variable pneumatic environment (</w:t>
      </w:r>
      <w:r w:rsidR="007A4F18" w:rsidRPr="007B27C3">
        <w:t>a la Ant Farm</w:t>
      </w:r>
      <w:r w:rsidR="008635D0" w:rsidRPr="007B27C3">
        <w:t>’s “pillows”)</w:t>
      </w:r>
      <w:r w:rsidR="007A4F18" w:rsidRPr="007B27C3">
        <w:t xml:space="preserve">, </w:t>
      </w:r>
      <w:r w:rsidR="008635D0" w:rsidRPr="007B27C3">
        <w:t xml:space="preserve">or a monumental technical feat (as demonstrated with </w:t>
      </w:r>
      <w:r w:rsidR="008635D0" w:rsidRPr="007B27C3">
        <w:rPr>
          <w:i/>
        </w:rPr>
        <w:t>Mirror Dome</w:t>
      </w:r>
      <w:r w:rsidR="008635D0" w:rsidRPr="007B27C3">
        <w:t xml:space="preserve"> and </w:t>
      </w:r>
      <w:r w:rsidR="008635D0" w:rsidRPr="007B27C3">
        <w:rPr>
          <w:i/>
        </w:rPr>
        <w:t>Myra Dome</w:t>
      </w:r>
      <w:r w:rsidR="008635D0" w:rsidRPr="007B27C3">
        <w:t xml:space="preserve">), </w:t>
      </w:r>
      <w:r w:rsidR="008635D0" w:rsidRPr="007B27C3">
        <w:rPr>
          <w:i/>
        </w:rPr>
        <w:t>Dodecahedron</w:t>
      </w:r>
      <w:r w:rsidR="008635D0" w:rsidRPr="007B27C3">
        <w:t xml:space="preserve"> </w:t>
      </w:r>
      <w:r w:rsidR="007B27C3" w:rsidRPr="007B27C3">
        <w:t xml:space="preserve">was </w:t>
      </w:r>
      <w:r w:rsidR="00D07D5E" w:rsidRPr="007B27C3">
        <w:t>well tailored</w:t>
      </w:r>
      <w:r w:rsidR="007B27C3" w:rsidRPr="007B27C3">
        <w:t xml:space="preserve"> and suited to the scale of the body</w:t>
      </w:r>
      <w:r w:rsidR="00670523">
        <w:t xml:space="preserve">, much like </w:t>
      </w:r>
      <w:proofErr w:type="spellStart"/>
      <w:r w:rsidR="00670523">
        <w:t>Jantzen’s</w:t>
      </w:r>
      <w:proofErr w:type="spellEnd"/>
      <w:r w:rsidR="00670523" w:rsidRPr="007B27C3">
        <w:t xml:space="preserve"> fashion</w:t>
      </w:r>
      <w:r w:rsidR="00670523">
        <w:t>s</w:t>
      </w:r>
      <w:r w:rsidR="007B27C3" w:rsidRPr="007B27C3">
        <w:t>.</w:t>
      </w:r>
      <w:r w:rsidR="00172A9F">
        <w:t xml:space="preserve"> </w:t>
      </w:r>
      <w:r w:rsidR="009D56C6">
        <w:t xml:space="preserve">Although humble in scale, and conceived as a temporary construction, the complex system of tubes designed to inflate the individual panels anticipates </w:t>
      </w:r>
      <w:r w:rsidR="009D56C6" w:rsidRPr="00EE5BBC">
        <w:rPr>
          <w:szCs w:val="20"/>
        </w:rPr>
        <w:t xml:space="preserve">the logic of what is now known as </w:t>
      </w:r>
      <w:r w:rsidR="007A711C">
        <w:rPr>
          <w:szCs w:val="20"/>
        </w:rPr>
        <w:t xml:space="preserve">an </w:t>
      </w:r>
      <w:r w:rsidR="009D56C6" w:rsidRPr="00EE5BBC">
        <w:rPr>
          <w:szCs w:val="20"/>
        </w:rPr>
        <w:t xml:space="preserve">ETFE (ethylene </w:t>
      </w:r>
      <w:proofErr w:type="spellStart"/>
      <w:r w:rsidR="009D56C6" w:rsidRPr="00EE5BBC">
        <w:rPr>
          <w:szCs w:val="20"/>
        </w:rPr>
        <w:t>tetr</w:t>
      </w:r>
      <w:r w:rsidR="007A711C">
        <w:rPr>
          <w:szCs w:val="20"/>
        </w:rPr>
        <w:t>afluoroethylene</w:t>
      </w:r>
      <w:proofErr w:type="spellEnd"/>
      <w:r w:rsidR="007A711C">
        <w:rPr>
          <w:szCs w:val="20"/>
        </w:rPr>
        <w:t>) cushion system</w:t>
      </w:r>
      <w:r w:rsidR="009D56C6" w:rsidRPr="00EE5BBC">
        <w:rPr>
          <w:szCs w:val="20"/>
        </w:rPr>
        <w:t>.</w:t>
      </w:r>
      <w:r w:rsidR="007A711C">
        <w:rPr>
          <w:rStyle w:val="EndnoteReference"/>
          <w:szCs w:val="20"/>
        </w:rPr>
        <w:endnoteReference w:id="42"/>
      </w:r>
      <w:r w:rsidR="009D56C6">
        <w:rPr>
          <w:szCs w:val="20"/>
        </w:rPr>
        <w:t xml:space="preserve"> </w:t>
      </w:r>
      <w:r w:rsidR="00670523">
        <w:t>T</w:t>
      </w:r>
      <w:r w:rsidR="000936E5" w:rsidRPr="007D5B82">
        <w:t>he lighting experiments carried out in their previous two dome constructions</w:t>
      </w:r>
      <w:r w:rsidR="00670523">
        <w:t xml:space="preserve"> additionally</w:t>
      </w:r>
      <w:r w:rsidR="000936E5" w:rsidRPr="007D5B82">
        <w:t xml:space="preserve"> allowed Chrysalis to further interrogate the potential of Mylar as a surface for producing optical effects. </w:t>
      </w:r>
      <w:r w:rsidR="008635D0" w:rsidRPr="007D5B82">
        <w:t>By incorporating contemporary materials and methods in th</w:t>
      </w:r>
      <w:r w:rsidR="000936E5" w:rsidRPr="007D5B82">
        <w:t>is</w:t>
      </w:r>
      <w:r w:rsidR="008635D0" w:rsidRPr="007D5B82">
        <w:t xml:space="preserve"> demountable structure, </w:t>
      </w:r>
      <w:r w:rsidR="000936E5" w:rsidRPr="007D5B82">
        <w:t>they</w:t>
      </w:r>
      <w:r w:rsidR="008635D0" w:rsidRPr="007D5B82">
        <w:t xml:space="preserve"> fashioned a lightweight and mobile environment that elevated Banham and </w:t>
      </w:r>
      <w:proofErr w:type="spellStart"/>
      <w:r w:rsidR="008635D0" w:rsidRPr="007D5B82">
        <w:t>Dallegret’s</w:t>
      </w:r>
      <w:proofErr w:type="spellEnd"/>
      <w:r w:rsidR="008635D0" w:rsidRPr="007D5B82">
        <w:t xml:space="preserve"> notion of a portable living module</w:t>
      </w:r>
      <w:r w:rsidR="00852DFC" w:rsidRPr="007D5B82">
        <w:t xml:space="preserve"> </w:t>
      </w:r>
      <w:r w:rsidR="00852DFC" w:rsidRPr="007D5B82">
        <w:rPr>
          <w:b/>
        </w:rPr>
        <w:t xml:space="preserve">(Fig. </w:t>
      </w:r>
      <w:r w:rsidR="00BC47E6">
        <w:rPr>
          <w:b/>
        </w:rPr>
        <w:t>7</w:t>
      </w:r>
      <w:r w:rsidR="00852DFC" w:rsidRPr="007D5B82">
        <w:rPr>
          <w:b/>
        </w:rPr>
        <w:t>)</w:t>
      </w:r>
      <w:r w:rsidR="008635D0" w:rsidRPr="007D5B82">
        <w:t>. Rather than the pneumatic membrane</w:t>
      </w:r>
      <w:r w:rsidR="001C6F65">
        <w:t xml:space="preserve"> as</w:t>
      </w:r>
      <w:r w:rsidR="008635D0" w:rsidRPr="007D5B82">
        <w:t xml:space="preserve"> a </w:t>
      </w:r>
      <w:r w:rsidR="001C6F65">
        <w:t>‘</w:t>
      </w:r>
      <w:r w:rsidR="008635D0" w:rsidRPr="007D5B82">
        <w:t>barely</w:t>
      </w:r>
      <w:r w:rsidR="001C6F65">
        <w:t xml:space="preserve"> </w:t>
      </w:r>
      <w:r w:rsidR="008635D0" w:rsidRPr="007D5B82">
        <w:t>there</w:t>
      </w:r>
      <w:r w:rsidR="001C6F65">
        <w:t>’</w:t>
      </w:r>
      <w:r w:rsidR="008635D0" w:rsidRPr="007D5B82">
        <w:t xml:space="preserve"> form of enclosure, the inflated panelized system of </w:t>
      </w:r>
      <w:r w:rsidR="00D7683B" w:rsidRPr="007D5B82">
        <w:rPr>
          <w:i/>
        </w:rPr>
        <w:t>Dodecahedron</w:t>
      </w:r>
      <w:r w:rsidR="00961CFC" w:rsidRPr="007D5B82">
        <w:rPr>
          <w:i/>
        </w:rPr>
        <w:t xml:space="preserve"> </w:t>
      </w:r>
      <w:r w:rsidR="00961CFC" w:rsidRPr="007D5B82">
        <w:t xml:space="preserve">asserts </w:t>
      </w:r>
      <w:r w:rsidR="000936E5" w:rsidRPr="007D5B82">
        <w:t xml:space="preserve">the potential of </w:t>
      </w:r>
      <w:r w:rsidR="006F226B">
        <w:t xml:space="preserve">advanced </w:t>
      </w:r>
      <w:r w:rsidR="000936E5" w:rsidRPr="007D5B82">
        <w:t>hybrid constructions at the scale of domestic inhabitation</w:t>
      </w:r>
      <w:r w:rsidR="007A711C">
        <w:t>.</w:t>
      </w:r>
    </w:p>
    <w:p w14:paraId="009328E5" w14:textId="77777777" w:rsidR="009D56C6" w:rsidRPr="007D5B82" w:rsidRDefault="009D56C6" w:rsidP="00D20B27"/>
    <w:p w14:paraId="3434CF9B" w14:textId="2CAFCD63" w:rsidR="00E4521C" w:rsidRPr="007D5B82" w:rsidRDefault="001F7EF0" w:rsidP="00D20B27">
      <w:r w:rsidRPr="007D5B82">
        <w:t>Although Chrysalis demonstrated the</w:t>
      </w:r>
      <w:r w:rsidR="00DF5E61" w:rsidRPr="007D5B82">
        <w:t>ir</w:t>
      </w:r>
      <w:r w:rsidR="00373241" w:rsidRPr="007D5B82">
        <w:t xml:space="preserve"> </w:t>
      </w:r>
      <w:r w:rsidR="00DF5E61" w:rsidRPr="007D5B82">
        <w:t xml:space="preserve">pneumatic </w:t>
      </w:r>
      <w:r w:rsidR="00373241" w:rsidRPr="007D5B82">
        <w:t xml:space="preserve">prowess with large-scale </w:t>
      </w:r>
      <w:r w:rsidR="00DF5E61" w:rsidRPr="007D5B82">
        <w:t>s</w:t>
      </w:r>
      <w:r w:rsidR="003B69D9" w:rsidRPr="007D5B82">
        <w:t>pectacle-inducing installations</w:t>
      </w:r>
      <w:r w:rsidR="00DF5E61" w:rsidRPr="007D5B82">
        <w:t xml:space="preserve"> in collaboration with Hollywood and the aer</w:t>
      </w:r>
      <w:r w:rsidR="003B69D9" w:rsidRPr="007D5B82">
        <w:t xml:space="preserve">ospace industry, </w:t>
      </w:r>
      <w:r w:rsidR="00F75CE9" w:rsidRPr="007D5B82">
        <w:t xml:space="preserve">they were also focused on tackling technical issues that related to </w:t>
      </w:r>
      <w:r w:rsidR="002A5FCD" w:rsidRPr="007D5B82">
        <w:t>environmental control</w:t>
      </w:r>
      <w:r w:rsidR="00B91415" w:rsidRPr="007D5B82">
        <w:t>s</w:t>
      </w:r>
      <w:r w:rsidR="001C6F65">
        <w:t xml:space="preserve">—such as </w:t>
      </w:r>
      <w:r w:rsidR="002A5FCD" w:rsidRPr="007D5B82">
        <w:t xml:space="preserve">energy, </w:t>
      </w:r>
      <w:r w:rsidR="00F75CE9" w:rsidRPr="007D5B82">
        <w:t>thermodynamics and human comfort.</w:t>
      </w:r>
      <w:r w:rsidR="00DF5E61" w:rsidRPr="007D5B82">
        <w:t xml:space="preserve"> </w:t>
      </w:r>
      <w:r w:rsidR="00F6484E" w:rsidRPr="007D5B82">
        <w:t xml:space="preserve">Davies, along with four other students at the </w:t>
      </w:r>
      <w:r w:rsidR="00517389" w:rsidRPr="007D5B82">
        <w:t>A</w:t>
      </w:r>
      <w:r w:rsidR="00517389">
        <w:t>rchitectural Association (AA) in London</w:t>
      </w:r>
      <w:r w:rsidR="00F6484E" w:rsidRPr="007D5B82">
        <w:t xml:space="preserve">, </w:t>
      </w:r>
      <w:r w:rsidR="007903A5" w:rsidRPr="007D5B82">
        <w:t xml:space="preserve">had </w:t>
      </w:r>
      <w:r w:rsidR="00F6484E" w:rsidRPr="007D5B82">
        <w:t>previously autho</w:t>
      </w:r>
      <w:r w:rsidR="007903A5" w:rsidRPr="007D5B82">
        <w:t>red the feature article in the June 1968</w:t>
      </w:r>
      <w:r w:rsidR="00F6484E" w:rsidRPr="007D5B82">
        <w:t xml:space="preserve"> “</w:t>
      </w:r>
      <w:proofErr w:type="spellStart"/>
      <w:r w:rsidR="00F6484E" w:rsidRPr="007D5B82">
        <w:t>Pneu</w:t>
      </w:r>
      <w:proofErr w:type="spellEnd"/>
      <w:r w:rsidR="00F6484E" w:rsidRPr="007D5B82">
        <w:t xml:space="preserve"> World” issue of </w:t>
      </w:r>
      <w:r w:rsidR="00F6484E" w:rsidRPr="007D5B82">
        <w:rPr>
          <w:i/>
        </w:rPr>
        <w:t>Architectural Design</w:t>
      </w:r>
      <w:r w:rsidR="00F6484E" w:rsidRPr="007D5B82">
        <w:t>.</w:t>
      </w:r>
      <w:r w:rsidR="007903A5" w:rsidRPr="007D5B82">
        <w:rPr>
          <w:rStyle w:val="EndnoteReference"/>
          <w:szCs w:val="20"/>
        </w:rPr>
        <w:endnoteReference w:id="43"/>
      </w:r>
      <w:r w:rsidR="007903A5" w:rsidRPr="007D5B82">
        <w:t xml:space="preserve"> </w:t>
      </w:r>
      <w:r w:rsidR="00F6484E" w:rsidRPr="007D5B82">
        <w:t xml:space="preserve"> </w:t>
      </w:r>
      <w:r w:rsidR="007903A5" w:rsidRPr="007D5B82">
        <w:t xml:space="preserve">In the essay they </w:t>
      </w:r>
      <w:r w:rsidR="00FF760A" w:rsidRPr="007D5B82">
        <w:t>challenge</w:t>
      </w:r>
      <w:r w:rsidR="000440BF" w:rsidRPr="007D5B82">
        <w:t>d</w:t>
      </w:r>
      <w:r w:rsidR="00FF760A" w:rsidRPr="007D5B82">
        <w:t xml:space="preserve"> the commonly held assumption that a pneumatic is a basic enclosure system</w:t>
      </w:r>
      <w:r w:rsidR="00E149F1">
        <w:t xml:space="preserve">—a </w:t>
      </w:r>
      <w:r w:rsidR="00FF760A" w:rsidRPr="007D5B82">
        <w:t>bubble</w:t>
      </w:r>
      <w:r w:rsidR="00E137E6" w:rsidRPr="007D5B82">
        <w:t xml:space="preserve"> or pillow</w:t>
      </w:r>
      <w:r w:rsidR="00E149F1">
        <w:t xml:space="preserve">—as they </w:t>
      </w:r>
      <w:r w:rsidR="00FF760A" w:rsidRPr="007D5B82">
        <w:t>explor</w:t>
      </w:r>
      <w:r w:rsidR="00E149F1">
        <w:t>ed</w:t>
      </w:r>
      <w:r w:rsidR="00FF760A" w:rsidRPr="007D5B82">
        <w:t xml:space="preserve"> double-layer systems and their potential for building performance (</w:t>
      </w:r>
      <w:r w:rsidR="00E137E6" w:rsidRPr="007D5B82">
        <w:t>i.e</w:t>
      </w:r>
      <w:r w:rsidR="00FF760A" w:rsidRPr="007D5B82">
        <w:t>., to control light, heat and sound)</w:t>
      </w:r>
      <w:r w:rsidR="007903A5" w:rsidRPr="007D5B82">
        <w:t xml:space="preserve">. They write, </w:t>
      </w:r>
      <w:r w:rsidR="00F6484E" w:rsidRPr="007D5B82">
        <w:t>“What can pneumatics offer in furthering the relationship between environmental control and the individual?</w:t>
      </w:r>
      <w:r w:rsidR="00F6484E" w:rsidRPr="007D5B82">
        <w:rPr>
          <w:sz w:val="22"/>
          <w:szCs w:val="22"/>
        </w:rPr>
        <w:t>”</w:t>
      </w:r>
      <w:r w:rsidR="00AE034F" w:rsidRPr="007D5B82">
        <w:rPr>
          <w:rStyle w:val="EndnoteReference"/>
          <w:sz w:val="22"/>
          <w:szCs w:val="22"/>
        </w:rPr>
        <w:endnoteReference w:id="44"/>
      </w:r>
      <w:r w:rsidR="00F6484E" w:rsidRPr="007D5B82">
        <w:rPr>
          <w:sz w:val="22"/>
          <w:szCs w:val="22"/>
        </w:rPr>
        <w:t xml:space="preserve"> </w:t>
      </w:r>
      <w:r w:rsidR="00AE034F" w:rsidRPr="007D5B82">
        <w:t>Providing not only definitions and illustrations of various types of pneumatics, but also a critical commentary of their advantages and disadvantages, the article also feature</w:t>
      </w:r>
      <w:r w:rsidR="00B91415" w:rsidRPr="007D5B82">
        <w:t xml:space="preserve">d </w:t>
      </w:r>
      <w:r w:rsidR="00AE034F" w:rsidRPr="007D5B82">
        <w:t>the students’ own experiments for traveling and modular pneumatic systems. Referring to their proposals as “a kit of metamorphic parts,”</w:t>
      </w:r>
      <w:r w:rsidR="00E149F1" w:rsidRPr="00E149F1">
        <w:t xml:space="preserve"> </w:t>
      </w:r>
      <w:r w:rsidR="00E149F1" w:rsidRPr="007D5B82">
        <w:t>they advocated for the lightweight, flexible</w:t>
      </w:r>
      <w:r w:rsidR="00E149F1">
        <w:t>,</w:t>
      </w:r>
      <w:r w:rsidR="00E149F1" w:rsidRPr="007D5B82">
        <w:t xml:space="preserve"> and mobile potential of inflatables—all properties Chrysalis would later uphold and </w:t>
      </w:r>
      <w:r w:rsidR="00E149F1">
        <w:t xml:space="preserve">further </w:t>
      </w:r>
      <w:r w:rsidR="00E149F1" w:rsidRPr="007D5B82">
        <w:t>advance.</w:t>
      </w:r>
      <w:r w:rsidR="00570D50" w:rsidRPr="007D5B82">
        <w:rPr>
          <w:rStyle w:val="EndnoteReference"/>
          <w:sz w:val="22"/>
          <w:szCs w:val="22"/>
        </w:rPr>
        <w:endnoteReference w:id="45"/>
      </w:r>
      <w:r w:rsidR="00AE034F" w:rsidRPr="007D5B82">
        <w:t xml:space="preserve"> </w:t>
      </w:r>
    </w:p>
    <w:p w14:paraId="0AA3559C" w14:textId="77777777" w:rsidR="002A5FCD" w:rsidRPr="007D5B82" w:rsidRDefault="002A5FCD" w:rsidP="00C942C4">
      <w:pPr>
        <w:ind w:firstLine="720"/>
      </w:pPr>
    </w:p>
    <w:p w14:paraId="1664B816" w14:textId="56D23E75" w:rsidR="007556C9" w:rsidRPr="00D32CE0" w:rsidRDefault="000440BF" w:rsidP="000F5D19">
      <w:pPr>
        <w:rPr>
          <w:rFonts w:eastAsia="Times New Roman" w:cs="Times New Roman"/>
        </w:rPr>
      </w:pPr>
      <w:r w:rsidRPr="007D5B82">
        <w:t>The</w:t>
      </w:r>
      <w:r w:rsidR="00741AAA" w:rsidRPr="007D5B82">
        <w:t xml:space="preserve"> </w:t>
      </w:r>
      <w:r w:rsidR="00E4521C" w:rsidRPr="007D5B82">
        <w:rPr>
          <w:i/>
        </w:rPr>
        <w:t xml:space="preserve">AD </w:t>
      </w:r>
      <w:r w:rsidRPr="007D5B82">
        <w:t>article pa</w:t>
      </w:r>
      <w:r w:rsidR="00511FC6" w:rsidRPr="007D5B82">
        <w:t>id</w:t>
      </w:r>
      <w:r w:rsidRPr="007D5B82">
        <w:t xml:space="preserve"> </w:t>
      </w:r>
      <w:r w:rsidR="00741AAA" w:rsidRPr="007D5B82">
        <w:t>s</w:t>
      </w:r>
      <w:r w:rsidR="00AE034F" w:rsidRPr="007D5B82">
        <w:t xml:space="preserve">pecial attention to the opportunities for developing thermal controls with inflatable skin systems, as discussed in the work of </w:t>
      </w:r>
      <w:r w:rsidR="000F5D19" w:rsidRPr="000F5D19">
        <w:rPr>
          <w:rFonts w:eastAsia="Times New Roman" w:cs="Times New Roman"/>
          <w:color w:val="545454"/>
          <w:szCs w:val="20"/>
          <w:shd w:val="clear" w:color="auto" w:fill="FFFFFF"/>
        </w:rPr>
        <w:t>physicist</w:t>
      </w:r>
      <w:r w:rsidR="000F5D19">
        <w:rPr>
          <w:rFonts w:eastAsia="Times New Roman" w:cs="Times New Roman"/>
        </w:rPr>
        <w:t xml:space="preserve"> </w:t>
      </w:r>
      <w:proofErr w:type="spellStart"/>
      <w:r w:rsidR="00AE034F" w:rsidRPr="007D5B82">
        <w:t>Nikolaus</w:t>
      </w:r>
      <w:proofErr w:type="spellEnd"/>
      <w:r w:rsidR="00AE034F" w:rsidRPr="007D5B82">
        <w:t xml:space="preserve"> Laing</w:t>
      </w:r>
      <w:r w:rsidR="00610DD6" w:rsidRPr="007D5B82">
        <w:t>.</w:t>
      </w:r>
      <w:r w:rsidR="00AE49ED" w:rsidRPr="007D5B82">
        <w:rPr>
          <w:rStyle w:val="EndnoteReference"/>
          <w:sz w:val="22"/>
          <w:szCs w:val="22"/>
        </w:rPr>
        <w:endnoteReference w:id="46"/>
      </w:r>
      <w:r w:rsidR="00AE49ED" w:rsidRPr="007D5B82">
        <w:rPr>
          <w:sz w:val="22"/>
          <w:szCs w:val="22"/>
        </w:rPr>
        <w:t xml:space="preserve"> </w:t>
      </w:r>
      <w:r w:rsidR="00820DA8" w:rsidRPr="007D5B82">
        <w:t>Laing’s</w:t>
      </w:r>
      <w:r w:rsidR="004653A1" w:rsidRPr="007D5B82">
        <w:t xml:space="preserve"> </w:t>
      </w:r>
      <w:r w:rsidR="00511FC6" w:rsidRPr="007D5B82">
        <w:t xml:space="preserve">unique </w:t>
      </w:r>
      <w:r w:rsidR="00820DA8" w:rsidRPr="007D5B82">
        <w:t>designs for “a multi-</w:t>
      </w:r>
      <w:r w:rsidR="00820DA8" w:rsidRPr="007D5B82">
        <w:lastRenderedPageBreak/>
        <w:t xml:space="preserve">layer skin system incorporating heat-reflecting and heat-absorbing elements, which can be dynamically controlled solely by air pressure,” elevated the </w:t>
      </w:r>
      <w:r w:rsidR="006A19BB">
        <w:t xml:space="preserve">pneumatic </w:t>
      </w:r>
      <w:r w:rsidR="00820DA8" w:rsidRPr="007D5B82">
        <w:t>discourse beyond simply bubbles and into the realm of environmental control</w:t>
      </w:r>
      <w:r w:rsidR="00B5758B" w:rsidRPr="007D5B82">
        <w:t>s</w:t>
      </w:r>
      <w:r w:rsidR="00820DA8" w:rsidRPr="007D5B82">
        <w:t>.</w:t>
      </w:r>
      <w:r w:rsidR="00B5758B" w:rsidRPr="007D5B82">
        <w:rPr>
          <w:rStyle w:val="EndnoteReference"/>
          <w:sz w:val="22"/>
          <w:szCs w:val="22"/>
        </w:rPr>
        <w:endnoteReference w:id="47"/>
      </w:r>
      <w:r w:rsidR="004653A1" w:rsidRPr="007D5B82">
        <w:t xml:space="preserve"> </w:t>
      </w:r>
      <w:r w:rsidR="00820DA8" w:rsidRPr="007D5B82">
        <w:t>Undoubtedly, Laing was</w:t>
      </w:r>
      <w:r w:rsidR="00AE034F" w:rsidRPr="007D5B82">
        <w:t xml:space="preserve"> a major influence </w:t>
      </w:r>
      <w:r w:rsidR="00B5758B" w:rsidRPr="007D5B82">
        <w:t xml:space="preserve">in </w:t>
      </w:r>
      <w:r w:rsidR="00AE034F" w:rsidRPr="007D5B82">
        <w:t xml:space="preserve">the development of </w:t>
      </w:r>
      <w:r w:rsidR="00FF760A" w:rsidRPr="007D5B82">
        <w:t>Davies’</w:t>
      </w:r>
      <w:r w:rsidR="00AE034F" w:rsidRPr="007D5B82">
        <w:t xml:space="preserve"> </w:t>
      </w:r>
      <w:r w:rsidR="00AE034F" w:rsidRPr="007D5B82">
        <w:rPr>
          <w:i/>
        </w:rPr>
        <w:t xml:space="preserve">Light Mat </w:t>
      </w:r>
      <w:r w:rsidR="00AE034F" w:rsidRPr="007D5B82">
        <w:t>(1970)</w:t>
      </w:r>
      <w:r w:rsidR="00AE034F" w:rsidRPr="007D5B82">
        <w:rPr>
          <w:i/>
        </w:rPr>
        <w:t xml:space="preserve"> </w:t>
      </w:r>
      <w:r w:rsidR="00AE034F" w:rsidRPr="007D5B82">
        <w:t>project at UCLA</w:t>
      </w:r>
      <w:r w:rsidR="00AE49ED" w:rsidRPr="007D5B82">
        <w:t xml:space="preserve"> </w:t>
      </w:r>
      <w:r w:rsidR="00AE49ED" w:rsidRPr="007D5B82">
        <w:rPr>
          <w:b/>
        </w:rPr>
        <w:t xml:space="preserve">(Fig. </w:t>
      </w:r>
      <w:r w:rsidR="00866C4A">
        <w:rPr>
          <w:b/>
        </w:rPr>
        <w:t>8</w:t>
      </w:r>
      <w:r w:rsidR="00AE49ED" w:rsidRPr="007D5B82">
        <w:rPr>
          <w:b/>
        </w:rPr>
        <w:t>)</w:t>
      </w:r>
      <w:r w:rsidR="00AE49ED" w:rsidRPr="007D5B82">
        <w:t xml:space="preserve">. </w:t>
      </w:r>
      <w:r w:rsidR="003B69D9" w:rsidRPr="007D5B82">
        <w:t>As illustrat</w:t>
      </w:r>
      <w:r w:rsidR="007A0CC0" w:rsidRPr="007D5B82">
        <w:t>ed in these photographs, the mockup</w:t>
      </w:r>
      <w:r w:rsidR="003B69D9" w:rsidRPr="007D5B82">
        <w:t xml:space="preserve"> on the left demonstrates maximum opacity</w:t>
      </w:r>
      <w:r w:rsidR="006A19BB">
        <w:t xml:space="preserve"> and </w:t>
      </w:r>
      <w:r w:rsidR="003B69D9" w:rsidRPr="007D5B82">
        <w:t>prevent</w:t>
      </w:r>
      <w:r w:rsidR="006A19BB">
        <w:t>s</w:t>
      </w:r>
      <w:r w:rsidR="003B69D9" w:rsidRPr="007D5B82">
        <w:t xml:space="preserve"> solar access, </w:t>
      </w:r>
      <w:r w:rsidR="006A19BB">
        <w:t>while</w:t>
      </w:r>
      <w:r w:rsidR="006A19BB" w:rsidRPr="007D5B82">
        <w:t xml:space="preserve"> </w:t>
      </w:r>
      <w:r w:rsidR="006A19BB">
        <w:t>its counterpart</w:t>
      </w:r>
      <w:r w:rsidR="003B69D9" w:rsidRPr="007D5B82">
        <w:t xml:space="preserve"> on the right illustrates </w:t>
      </w:r>
      <w:r w:rsidR="00E755E7" w:rsidRPr="007D5B82">
        <w:t xml:space="preserve">a </w:t>
      </w:r>
      <w:r w:rsidR="003B69D9" w:rsidRPr="007D5B82">
        <w:t xml:space="preserve">50% transmission of </w:t>
      </w:r>
      <w:r w:rsidR="00E755E7" w:rsidRPr="007D5B82">
        <w:t>sun</w:t>
      </w:r>
      <w:r w:rsidR="003B69D9" w:rsidRPr="007D5B82">
        <w:t xml:space="preserve">light. </w:t>
      </w:r>
      <w:r w:rsidR="00E755E7" w:rsidRPr="007D5B82">
        <w:t xml:space="preserve">The appearance of Davies’ arm and hand behind the cushions indicates how the upper half of the module is </w:t>
      </w:r>
      <w:r w:rsidR="00EF5114">
        <w:t xml:space="preserve">composed of </w:t>
      </w:r>
      <w:r w:rsidR="00E755E7" w:rsidRPr="007D5B82">
        <w:t xml:space="preserve">opaque white </w:t>
      </w:r>
      <w:r w:rsidR="00EF5114" w:rsidRPr="007D5B82">
        <w:rPr>
          <w:rFonts w:cs="Times New Roman"/>
        </w:rPr>
        <w:t>PVC (polyvinyl chloride)</w:t>
      </w:r>
      <w:r w:rsidR="00E755E7" w:rsidRPr="007D5B82">
        <w:t xml:space="preserve">, whereas the bottom half is completely transparent. </w:t>
      </w:r>
      <w:r w:rsidR="0056209E" w:rsidRPr="007D5B82">
        <w:t xml:space="preserve">Additional drawings </w:t>
      </w:r>
      <w:r w:rsidR="00610DD6" w:rsidRPr="007D5B82">
        <w:rPr>
          <w:szCs w:val="20"/>
        </w:rPr>
        <w:t>indicat</w:t>
      </w:r>
      <w:r w:rsidR="006A19BB">
        <w:rPr>
          <w:szCs w:val="20"/>
        </w:rPr>
        <w:t>e</w:t>
      </w:r>
      <w:r w:rsidR="00610DD6" w:rsidRPr="007D5B82">
        <w:rPr>
          <w:szCs w:val="20"/>
        </w:rPr>
        <w:t xml:space="preserve"> the role of air pressure in cylindrical pneumatic chambers to modulate the transmission of light and heat</w:t>
      </w:r>
      <w:r w:rsidR="006A19BB">
        <w:t>—</w:t>
      </w:r>
      <w:r w:rsidR="0056209E" w:rsidRPr="007D5B82">
        <w:t xml:space="preserve">evidence </w:t>
      </w:r>
      <w:r w:rsidR="00D32CE0">
        <w:t xml:space="preserve">of </w:t>
      </w:r>
      <w:r w:rsidR="0056209E" w:rsidRPr="007D5B82">
        <w:t xml:space="preserve">the technical prowess </w:t>
      </w:r>
      <w:r w:rsidR="00511FC6" w:rsidRPr="007D5B82">
        <w:t xml:space="preserve">and curiosity </w:t>
      </w:r>
      <w:r w:rsidR="0056209E" w:rsidRPr="007D5B82">
        <w:t>of Davies</w:t>
      </w:r>
      <w:r w:rsidR="004A0933" w:rsidRPr="007D5B82">
        <w:t>.</w:t>
      </w:r>
      <w:r w:rsidR="0056209E" w:rsidRPr="007D5B82">
        <w:t xml:space="preserve"> </w:t>
      </w:r>
    </w:p>
    <w:p w14:paraId="3246597F" w14:textId="77777777" w:rsidR="00610DD6" w:rsidRPr="007D5B82" w:rsidRDefault="00610DD6" w:rsidP="00610DD6">
      <w:pPr>
        <w:rPr>
          <w:szCs w:val="20"/>
        </w:rPr>
      </w:pPr>
    </w:p>
    <w:p w14:paraId="5C16B942" w14:textId="794ECF1D" w:rsidR="00DF526C" w:rsidRPr="007D5B82" w:rsidRDefault="006A19BB" w:rsidP="006166F4">
      <w:r>
        <w:t>Alongside the</w:t>
      </w:r>
      <w:r w:rsidR="00E755E7" w:rsidRPr="007D5B82">
        <w:t xml:space="preserve"> </w:t>
      </w:r>
      <w:r>
        <w:t>enhancement of</w:t>
      </w:r>
      <w:r w:rsidR="00E755E7" w:rsidRPr="007D5B82">
        <w:t xml:space="preserve"> thermal performance </w:t>
      </w:r>
      <w:r>
        <w:t>in</w:t>
      </w:r>
      <w:r w:rsidR="00E755E7" w:rsidRPr="007D5B82">
        <w:t xml:space="preserve"> an active air-filled</w:t>
      </w:r>
      <w:r w:rsidR="0056209E" w:rsidRPr="007D5B82">
        <w:t xml:space="preserve"> building system, Davies challenge</w:t>
      </w:r>
      <w:r w:rsidR="00DF526C" w:rsidRPr="007D5B82">
        <w:t xml:space="preserve">d </w:t>
      </w:r>
      <w:r w:rsidR="0056209E" w:rsidRPr="007D5B82">
        <w:t xml:space="preserve">the then dominant countercultural narrative that pneumatics were </w:t>
      </w:r>
      <w:r w:rsidR="00F33A5D">
        <w:t>merely playful</w:t>
      </w:r>
      <w:r w:rsidR="00C10502">
        <w:t xml:space="preserve"> and</w:t>
      </w:r>
      <w:r w:rsidR="003E1EBF" w:rsidRPr="007D5B82">
        <w:t xml:space="preserve"> ephemeral constructions, </w:t>
      </w:r>
      <w:r w:rsidR="0056209E" w:rsidRPr="007D5B82">
        <w:t xml:space="preserve">not to be taken seriously. </w:t>
      </w:r>
      <w:r w:rsidR="007556C9" w:rsidRPr="007D5B82">
        <w:t xml:space="preserve">The </w:t>
      </w:r>
      <w:r w:rsidR="007556C9" w:rsidRPr="007D5B82">
        <w:rPr>
          <w:i/>
        </w:rPr>
        <w:t>Light Mat</w:t>
      </w:r>
      <w:r w:rsidR="0056209E" w:rsidRPr="007D5B82">
        <w:t xml:space="preserve"> mockup</w:t>
      </w:r>
      <w:r w:rsidR="0056209E" w:rsidRPr="007D5B82">
        <w:rPr>
          <w:i/>
        </w:rPr>
        <w:t xml:space="preserve"> </w:t>
      </w:r>
      <w:r w:rsidR="00483847" w:rsidRPr="007D5B82">
        <w:t xml:space="preserve">was part of a studio project called </w:t>
      </w:r>
      <w:r w:rsidR="00483847" w:rsidRPr="007D5B82">
        <w:rPr>
          <w:i/>
        </w:rPr>
        <w:t>Energy House</w:t>
      </w:r>
      <w:r w:rsidR="00C10502">
        <w:rPr>
          <w:i/>
        </w:rPr>
        <w:t xml:space="preserve"> </w:t>
      </w:r>
      <w:r w:rsidR="00C10502">
        <w:t>and</w:t>
      </w:r>
      <w:r w:rsidR="00483847" w:rsidRPr="007D5B82">
        <w:t xml:space="preserve"> ca</w:t>
      </w:r>
      <w:r w:rsidR="007A0CC0" w:rsidRPr="007D5B82">
        <w:t>rried out by Davies at UCLA in f</w:t>
      </w:r>
      <w:r w:rsidR="00483847" w:rsidRPr="007D5B82">
        <w:t>all 1970</w:t>
      </w:r>
      <w:r w:rsidR="00DF526C" w:rsidRPr="007D5B82">
        <w:t xml:space="preserve">. </w:t>
      </w:r>
      <w:r w:rsidR="008E49D5" w:rsidRPr="007D5B82">
        <w:t>The house, a technologically adept</w:t>
      </w:r>
      <w:r w:rsidR="009A4FC3" w:rsidRPr="007D5B82">
        <w:t xml:space="preserve"> deployable structure, was </w:t>
      </w:r>
      <w:r w:rsidR="008E49D5" w:rsidRPr="007D5B82">
        <w:t xml:space="preserve">also </w:t>
      </w:r>
      <w:r w:rsidR="009A4FC3" w:rsidRPr="007D5B82">
        <w:t>a hybrid construction: it was comprised of a folding, lightweight structure and dual-walled pneumatic mat, as indicated by Ping-Pong balls in th</w:t>
      </w:r>
      <w:r w:rsidR="00C10502">
        <w:t>e</w:t>
      </w:r>
      <w:r w:rsidR="009A4FC3" w:rsidRPr="007D5B82">
        <w:t xml:space="preserve"> physical model </w:t>
      </w:r>
      <w:r w:rsidR="009A4FC3" w:rsidRPr="007D5B82">
        <w:rPr>
          <w:b/>
        </w:rPr>
        <w:t>(Fig</w:t>
      </w:r>
      <w:r w:rsidR="00933E51">
        <w:rPr>
          <w:b/>
        </w:rPr>
        <w:t xml:space="preserve">. </w:t>
      </w:r>
      <w:r w:rsidR="00866C4A">
        <w:rPr>
          <w:b/>
        </w:rPr>
        <w:t>9</w:t>
      </w:r>
      <w:r w:rsidR="009A4FC3" w:rsidRPr="007D5B82">
        <w:rPr>
          <w:b/>
        </w:rPr>
        <w:t>)</w:t>
      </w:r>
      <w:r w:rsidR="009A4FC3" w:rsidRPr="007D5B82">
        <w:t>. In addition to being mobile</w:t>
      </w:r>
      <w:r w:rsidR="00DD0895" w:rsidRPr="007D5B82">
        <w:t xml:space="preserve">, it </w:t>
      </w:r>
      <w:r w:rsidR="00C10502" w:rsidRPr="007D5B82">
        <w:t>was off</w:t>
      </w:r>
      <w:r w:rsidR="00C10502">
        <w:t xml:space="preserve"> the grid—</w:t>
      </w:r>
      <w:r w:rsidR="000A41CF" w:rsidRPr="007D5B82">
        <w:t>barely touch</w:t>
      </w:r>
      <w:r w:rsidR="00C10502">
        <w:t>ing</w:t>
      </w:r>
      <w:r w:rsidR="000A41CF" w:rsidRPr="007D5B82">
        <w:t xml:space="preserve"> the ground</w:t>
      </w:r>
      <w:r w:rsidR="00C10502">
        <w:t xml:space="preserve"> altogether—</w:t>
      </w:r>
      <w:r w:rsidR="000A41CF" w:rsidRPr="007D5B82">
        <w:t>and collected enough solar energy</w:t>
      </w:r>
      <w:r w:rsidR="009A4FC3" w:rsidRPr="007D5B82">
        <w:t xml:space="preserve"> to operate a TV</w:t>
      </w:r>
      <w:r w:rsidR="00DD0895" w:rsidRPr="007D5B82">
        <w:t xml:space="preserve"> set.</w:t>
      </w:r>
      <w:r w:rsidR="00483847" w:rsidRPr="007D5B82">
        <w:t xml:space="preserve"> </w:t>
      </w:r>
      <w:r w:rsidR="006166F4" w:rsidRPr="007D5B82">
        <w:t xml:space="preserve">Valerio, </w:t>
      </w:r>
      <w:r w:rsidR="00483847" w:rsidRPr="007D5B82">
        <w:t>who as</w:t>
      </w:r>
      <w:r w:rsidR="006166F4" w:rsidRPr="007D5B82">
        <w:t xml:space="preserve">sisted Davies with the project </w:t>
      </w:r>
      <w:r w:rsidR="00483847" w:rsidRPr="007D5B82">
        <w:t>just prior to the</w:t>
      </w:r>
      <w:r w:rsidR="000D10C9" w:rsidRPr="007D5B82">
        <w:t>ir</w:t>
      </w:r>
      <w:r w:rsidR="006166F4" w:rsidRPr="007D5B82">
        <w:t xml:space="preserve"> formation of Chrysalis, </w:t>
      </w:r>
      <w:r w:rsidR="00483847" w:rsidRPr="007D5B82">
        <w:t xml:space="preserve">explains that the </w:t>
      </w:r>
      <w:r w:rsidR="00483847" w:rsidRPr="007D5B82">
        <w:rPr>
          <w:i/>
        </w:rPr>
        <w:t xml:space="preserve">Energy House </w:t>
      </w:r>
      <w:r w:rsidR="00483847" w:rsidRPr="007D5B82">
        <w:t>demonstrated a “leap from Romanticism to making things work.”</w:t>
      </w:r>
      <w:r w:rsidR="000D10C9" w:rsidRPr="007D5B82">
        <w:rPr>
          <w:rStyle w:val="EndnoteReference"/>
          <w:szCs w:val="20"/>
        </w:rPr>
        <w:endnoteReference w:id="48"/>
      </w:r>
      <w:r w:rsidR="00B82E63" w:rsidRPr="007D5B82">
        <w:t xml:space="preserve"> He adds, “It’s mobile, you could pack it up, put it in the back of your van, take it out to the desert, and deploy it.”</w:t>
      </w:r>
      <w:r w:rsidR="00B82E63" w:rsidRPr="007D5B82">
        <w:rPr>
          <w:rStyle w:val="EndnoteReference"/>
          <w:szCs w:val="20"/>
        </w:rPr>
        <w:endnoteReference w:id="49"/>
      </w:r>
      <w:r w:rsidR="00483847" w:rsidRPr="007D5B82">
        <w:t xml:space="preserve"> </w:t>
      </w:r>
      <w:r w:rsidR="00DD0895" w:rsidRPr="007D5B82">
        <w:t xml:space="preserve">The </w:t>
      </w:r>
      <w:r w:rsidR="00483847" w:rsidRPr="007D5B82">
        <w:t xml:space="preserve">performative pneumatic skin </w:t>
      </w:r>
      <w:r w:rsidR="00B82E63" w:rsidRPr="007D5B82">
        <w:t xml:space="preserve">featured in the </w:t>
      </w:r>
      <w:r w:rsidR="00B82E63" w:rsidRPr="007D5B82">
        <w:rPr>
          <w:i/>
        </w:rPr>
        <w:t xml:space="preserve">Energy House </w:t>
      </w:r>
      <w:r w:rsidR="00483847" w:rsidRPr="007D5B82">
        <w:t xml:space="preserve">was further </w:t>
      </w:r>
      <w:r w:rsidR="0056209E" w:rsidRPr="007D5B82">
        <w:t xml:space="preserve">developed by Chrysalis as </w:t>
      </w:r>
      <w:r w:rsidR="0056209E" w:rsidRPr="007D5B82">
        <w:rPr>
          <w:i/>
        </w:rPr>
        <w:t xml:space="preserve">Solar Mat </w:t>
      </w:r>
      <w:r w:rsidR="0056209E" w:rsidRPr="007D5B82">
        <w:t xml:space="preserve">(1971), </w:t>
      </w:r>
      <w:r w:rsidR="00EB5FE7">
        <w:t>a proposal for an</w:t>
      </w:r>
      <w:r w:rsidR="00942415" w:rsidRPr="007D5B82">
        <w:t xml:space="preserve"> </w:t>
      </w:r>
      <w:r w:rsidR="00CE73B7">
        <w:t>i</w:t>
      </w:r>
      <w:r w:rsidR="00EB5FE7">
        <w:t xml:space="preserve">nflated </w:t>
      </w:r>
      <w:r w:rsidR="00960BF0">
        <w:t>solar-collecting</w:t>
      </w:r>
      <w:r w:rsidR="00CE73B7">
        <w:t xml:space="preserve"> roof canopy </w:t>
      </w:r>
      <w:r w:rsidR="00942415" w:rsidRPr="007D5B82">
        <w:t>in the California desert</w:t>
      </w:r>
      <w:r w:rsidR="00EB5FE7">
        <w:t xml:space="preserve"> </w:t>
      </w:r>
      <w:r w:rsidR="00942415" w:rsidRPr="007D5B82">
        <w:rPr>
          <w:b/>
        </w:rPr>
        <w:t xml:space="preserve">(Fig. </w:t>
      </w:r>
      <w:r w:rsidR="00C73791" w:rsidRPr="007D5B82">
        <w:rPr>
          <w:b/>
        </w:rPr>
        <w:t>1</w:t>
      </w:r>
      <w:r w:rsidR="00866C4A">
        <w:rPr>
          <w:b/>
        </w:rPr>
        <w:t>0</w:t>
      </w:r>
      <w:r w:rsidR="00942415" w:rsidRPr="007D5B82">
        <w:rPr>
          <w:b/>
        </w:rPr>
        <w:t>)</w:t>
      </w:r>
      <w:r w:rsidR="00942415" w:rsidRPr="007D5B82">
        <w:t>.</w:t>
      </w:r>
      <w:r w:rsidR="007A0CC0" w:rsidRPr="007D5B82">
        <w:t xml:space="preserve"> </w:t>
      </w:r>
    </w:p>
    <w:p w14:paraId="488B16B8" w14:textId="77777777" w:rsidR="008E77E5" w:rsidRPr="007D5B82" w:rsidRDefault="008E77E5" w:rsidP="006166F4"/>
    <w:p w14:paraId="7DB096AA" w14:textId="54EFBE56" w:rsidR="00942415" w:rsidRPr="007D5B82" w:rsidRDefault="008E77E5" w:rsidP="006166F4">
      <w:r w:rsidRPr="007D5B82">
        <w:t xml:space="preserve">Parallel to </w:t>
      </w:r>
      <w:r w:rsidR="00874311">
        <w:t xml:space="preserve">the </w:t>
      </w:r>
      <w:r w:rsidRPr="007D5B82">
        <w:t>develop</w:t>
      </w:r>
      <w:r w:rsidR="00874311">
        <w:t>ment</w:t>
      </w:r>
      <w:r w:rsidRPr="007D5B82">
        <w:t xml:space="preserve"> </w:t>
      </w:r>
      <w:r w:rsidR="00874311">
        <w:t xml:space="preserve">of </w:t>
      </w:r>
      <w:r w:rsidR="0041064C" w:rsidRPr="007D5B82">
        <w:t xml:space="preserve">technical performance </w:t>
      </w:r>
      <w:r w:rsidR="00874311">
        <w:t>in</w:t>
      </w:r>
      <w:r w:rsidR="0041064C" w:rsidRPr="007D5B82">
        <w:t xml:space="preserve"> pneumatics, </w:t>
      </w:r>
      <w:r w:rsidR="001079D9" w:rsidRPr="007D5B82">
        <w:t xml:space="preserve">it should be noted that </w:t>
      </w:r>
      <w:r w:rsidR="0041064C" w:rsidRPr="007D5B82">
        <w:t xml:space="preserve">Chrysalis </w:t>
      </w:r>
      <w:r w:rsidRPr="007D5B82">
        <w:t>was also exploring the</w:t>
      </w:r>
      <w:r w:rsidR="0041064C" w:rsidRPr="007D5B82">
        <w:t>ir</w:t>
      </w:r>
      <w:r w:rsidRPr="007D5B82">
        <w:t xml:space="preserve"> formal, material</w:t>
      </w:r>
      <w:r w:rsidR="00D63185">
        <w:t>,</w:t>
      </w:r>
      <w:r w:rsidRPr="007D5B82">
        <w:t xml:space="preserve"> and spatial possibilities</w:t>
      </w:r>
      <w:r w:rsidR="0041064C" w:rsidRPr="007D5B82">
        <w:t>.</w:t>
      </w:r>
      <w:r w:rsidR="00F33A5D">
        <w:t xml:space="preserve"> </w:t>
      </w:r>
      <w:r w:rsidR="00EC71EE" w:rsidRPr="007D5B82">
        <w:t xml:space="preserve">For example, they were invited by the University of Southern California (USC) School of Architecture </w:t>
      </w:r>
      <w:r w:rsidR="0041064C" w:rsidRPr="007D5B82">
        <w:t xml:space="preserve">in 1970 </w:t>
      </w:r>
      <w:r w:rsidR="00EC71EE" w:rsidRPr="007D5B82">
        <w:t>to create a conceptual pneumatic structure.</w:t>
      </w:r>
      <w:r w:rsidR="002609DF" w:rsidRPr="007D5B82">
        <w:rPr>
          <w:rStyle w:val="EndnoteReference"/>
          <w:szCs w:val="20"/>
        </w:rPr>
        <w:endnoteReference w:id="50"/>
      </w:r>
      <w:r w:rsidR="00EC71EE" w:rsidRPr="007D5B82">
        <w:t xml:space="preserve"> Reminiscent o</w:t>
      </w:r>
      <w:r w:rsidR="001079D9" w:rsidRPr="007D5B82">
        <w:t>f the more abstract, sculptural</w:t>
      </w:r>
      <w:r w:rsidR="00EC71EE" w:rsidRPr="007D5B82">
        <w:t xml:space="preserve"> and playful </w:t>
      </w:r>
      <w:r w:rsidR="00D80CA3" w:rsidRPr="007D5B82">
        <w:t xml:space="preserve">pneumatic </w:t>
      </w:r>
      <w:r w:rsidR="00EC71EE" w:rsidRPr="007D5B82">
        <w:t>forms of artist Graham Stevens, th</w:t>
      </w:r>
      <w:r w:rsidR="003B3527" w:rsidRPr="007D5B82">
        <w:t xml:space="preserve">e USC inflatable captured </w:t>
      </w:r>
      <w:r w:rsidR="00EC71EE" w:rsidRPr="007D5B82">
        <w:t>mastery in crafting a variety of geometries o</w:t>
      </w:r>
      <w:r w:rsidR="0041064C" w:rsidRPr="007D5B82">
        <w:t xml:space="preserve">ut </w:t>
      </w:r>
      <w:r w:rsidR="00F33A5D">
        <w:t xml:space="preserve">of </w:t>
      </w:r>
      <w:r w:rsidR="0041064C" w:rsidRPr="007D5B82">
        <w:t>clear, opaque</w:t>
      </w:r>
      <w:r w:rsidR="00D63185">
        <w:t>,</w:t>
      </w:r>
      <w:r w:rsidR="0041064C" w:rsidRPr="007D5B82">
        <w:t xml:space="preserve"> </w:t>
      </w:r>
      <w:r w:rsidR="00EC71EE" w:rsidRPr="007D5B82">
        <w:t xml:space="preserve">and colored </w:t>
      </w:r>
      <w:r w:rsidR="00F33A5D">
        <w:t>PVC</w:t>
      </w:r>
      <w:r w:rsidR="00EC71EE" w:rsidRPr="007D5B82">
        <w:t xml:space="preserve"> meticulously seamed together</w:t>
      </w:r>
      <w:r w:rsidR="003B3527" w:rsidRPr="007D5B82">
        <w:t xml:space="preserve">. </w:t>
      </w:r>
      <w:r w:rsidR="00DA6625">
        <w:t>W</w:t>
      </w:r>
      <w:r w:rsidR="003B3527" w:rsidRPr="007D5B82">
        <w:t xml:space="preserve">hat Chrysalis learned was that </w:t>
      </w:r>
      <w:r w:rsidR="00DA6625" w:rsidRPr="007D5B82">
        <w:t>most</w:t>
      </w:r>
      <w:r w:rsidR="00DA6625">
        <w:t xml:space="preserve"> </w:t>
      </w:r>
      <w:r w:rsidR="00DA6625" w:rsidRPr="007D5B82">
        <w:t>pneumatic structure</w:t>
      </w:r>
      <w:r w:rsidR="00DA6625">
        <w:t xml:space="preserve"> </w:t>
      </w:r>
      <w:r w:rsidR="003B3527" w:rsidRPr="007D5B82">
        <w:t>designers, users</w:t>
      </w:r>
      <w:r w:rsidR="00D63185">
        <w:t>,</w:t>
      </w:r>
      <w:r w:rsidR="00FA2DD7" w:rsidRPr="007D5B82">
        <w:t xml:space="preserve"> and clients </w:t>
      </w:r>
      <w:r w:rsidR="001079D9" w:rsidRPr="007D5B82">
        <w:t>are</w:t>
      </w:r>
      <w:r w:rsidR="00FA2DD7" w:rsidRPr="007D5B82">
        <w:t xml:space="preserve"> content with </w:t>
      </w:r>
      <w:r w:rsidR="00543E7A" w:rsidRPr="007D5B82">
        <w:t>their delightful otherworldliness</w:t>
      </w:r>
      <w:r w:rsidR="008E0349" w:rsidRPr="007D5B82">
        <w:t xml:space="preserve"> </w:t>
      </w:r>
      <w:r w:rsidR="00DA6625">
        <w:t>as</w:t>
      </w:r>
      <w:r w:rsidR="001E6E34" w:rsidRPr="007D5B82">
        <w:t xml:space="preserve"> </w:t>
      </w:r>
      <w:r w:rsidR="008E0349" w:rsidRPr="007D5B82">
        <w:t>pseudo-</w:t>
      </w:r>
      <w:r w:rsidR="00C942C4" w:rsidRPr="007D5B82">
        <w:t>psychedelic</w:t>
      </w:r>
      <w:r w:rsidR="008E0349" w:rsidRPr="007D5B82">
        <w:t xml:space="preserve"> environments</w:t>
      </w:r>
      <w:r w:rsidR="00543E7A" w:rsidRPr="007D5B82">
        <w:t xml:space="preserve">, rather than a viable alternative to conventional buildings. </w:t>
      </w:r>
      <w:r w:rsidR="00EC71EE" w:rsidRPr="007D5B82">
        <w:t>Although the project was initially installed on the USC campus, it was taken soon thereaf</w:t>
      </w:r>
      <w:r w:rsidR="007957C1" w:rsidRPr="007D5B82">
        <w:t xml:space="preserve">ter to the California desert to be </w:t>
      </w:r>
      <w:r w:rsidR="001079D9" w:rsidRPr="007D5B82">
        <w:t>photographed</w:t>
      </w:r>
      <w:r w:rsidR="00EC71EE" w:rsidRPr="007D5B82">
        <w:t xml:space="preserve">. </w:t>
      </w:r>
      <w:r w:rsidR="00EC71EE" w:rsidRPr="007D5B82">
        <w:lastRenderedPageBreak/>
        <w:t>Chrysalis saw its potential once again as a stage set</w:t>
      </w:r>
      <w:r w:rsidR="00455CFE">
        <w:t>—</w:t>
      </w:r>
      <w:r w:rsidR="00455CFE" w:rsidRPr="007D5B82">
        <w:t>as evidenced by the abandoned helicopter</w:t>
      </w:r>
      <w:r w:rsidR="00455CFE">
        <w:t xml:space="preserve">—and </w:t>
      </w:r>
      <w:r w:rsidR="00EC71EE" w:rsidRPr="007D5B82">
        <w:t>captur</w:t>
      </w:r>
      <w:r w:rsidR="00455CFE">
        <w:t>ed</w:t>
      </w:r>
      <w:r w:rsidR="00EC71EE" w:rsidRPr="007D5B82">
        <w:t xml:space="preserve"> </w:t>
      </w:r>
      <w:r w:rsidR="0060211F" w:rsidRPr="007D5B82">
        <w:t>the inflatable</w:t>
      </w:r>
      <w:r w:rsidR="00EC71EE" w:rsidRPr="007D5B82">
        <w:t xml:space="preserve"> in </w:t>
      </w:r>
      <w:r w:rsidR="00543E7A" w:rsidRPr="007D5B82">
        <w:t xml:space="preserve">the </w:t>
      </w:r>
      <w:r w:rsidR="00EC71EE" w:rsidRPr="007D5B82">
        <w:t>near extra-terrestrial terrain just east of Los Angeles</w:t>
      </w:r>
      <w:r w:rsidR="00543E7A" w:rsidRPr="007D5B82">
        <w:t xml:space="preserve">, where many films and commercials were </w:t>
      </w:r>
      <w:r w:rsidR="008978F0" w:rsidRPr="007D5B82">
        <w:t xml:space="preserve">shot </w:t>
      </w:r>
      <w:r w:rsidR="00543E7A" w:rsidRPr="007D5B82">
        <w:t>(and still are today)</w:t>
      </w:r>
      <w:r w:rsidR="002609DF" w:rsidRPr="007D5B82">
        <w:t xml:space="preserve"> </w:t>
      </w:r>
      <w:r w:rsidR="002609DF" w:rsidRPr="007D5B82">
        <w:rPr>
          <w:b/>
        </w:rPr>
        <w:t xml:space="preserve">(Fig. </w:t>
      </w:r>
      <w:r w:rsidR="00A539DA" w:rsidRPr="007D5B82">
        <w:rPr>
          <w:b/>
        </w:rPr>
        <w:t>1</w:t>
      </w:r>
      <w:r w:rsidR="00866C4A">
        <w:rPr>
          <w:b/>
        </w:rPr>
        <w:t>1</w:t>
      </w:r>
      <w:r w:rsidR="002609DF" w:rsidRPr="007D5B82">
        <w:rPr>
          <w:b/>
        </w:rPr>
        <w:t>)</w:t>
      </w:r>
      <w:r w:rsidR="00543E7A" w:rsidRPr="007D5B82">
        <w:t xml:space="preserve">. </w:t>
      </w:r>
    </w:p>
    <w:p w14:paraId="19BD79C7" w14:textId="5FE8B100" w:rsidR="008E77E5" w:rsidRPr="007D5B82" w:rsidRDefault="008E77E5" w:rsidP="005510A9">
      <w:pPr>
        <w:rPr>
          <w:b/>
        </w:rPr>
      </w:pPr>
    </w:p>
    <w:p w14:paraId="20C3305E" w14:textId="0222A19B" w:rsidR="000D3B7E" w:rsidRPr="005B1AF0" w:rsidRDefault="00E01D04" w:rsidP="005510A9">
      <w:pPr>
        <w:rPr>
          <w:i/>
        </w:rPr>
      </w:pPr>
      <w:r w:rsidRPr="007D5B82">
        <w:t>Despite its allure as a destination for countercultural experimentation</w:t>
      </w:r>
      <w:r w:rsidR="00DB7C62">
        <w:t>,</w:t>
      </w:r>
      <w:r w:rsidR="00DB7C62">
        <w:rPr>
          <w:i/>
        </w:rPr>
        <w:t xml:space="preserve"> </w:t>
      </w:r>
      <w:r w:rsidR="00C25CFF" w:rsidRPr="007D5B82">
        <w:t xml:space="preserve">the desert is </w:t>
      </w:r>
      <w:r w:rsidRPr="007D5B82">
        <w:t xml:space="preserve">also </w:t>
      </w:r>
      <w:r w:rsidR="00C25CFF" w:rsidRPr="007D5B82">
        <w:t>a hostile environment</w:t>
      </w:r>
      <w:r w:rsidR="0060211F" w:rsidRPr="007D5B82">
        <w:t>.</w:t>
      </w:r>
      <w:r w:rsidR="00D92031">
        <w:t xml:space="preserve"> </w:t>
      </w:r>
      <w:r w:rsidR="007558AC">
        <w:t xml:space="preserve">Ant Farm </w:t>
      </w:r>
      <w:r w:rsidR="004548B0">
        <w:t xml:space="preserve">experienced this first hand </w:t>
      </w:r>
      <w:r w:rsidR="0097462E" w:rsidRPr="007D5B82">
        <w:t>in January, 1971</w:t>
      </w:r>
      <w:r w:rsidR="0097462E">
        <w:t xml:space="preserve"> </w:t>
      </w:r>
      <w:r w:rsidR="004548B0">
        <w:t>when they</w:t>
      </w:r>
      <w:r w:rsidR="00D92031" w:rsidRPr="007D5B82">
        <w:t xml:space="preserve"> </w:t>
      </w:r>
      <w:r w:rsidR="004548B0">
        <w:t xml:space="preserve">were invited by </w:t>
      </w:r>
      <w:r w:rsidR="004548B0">
        <w:rPr>
          <w:i/>
        </w:rPr>
        <w:t xml:space="preserve">Whole Earth Catalog </w:t>
      </w:r>
      <w:r w:rsidR="004548B0">
        <w:t xml:space="preserve">founder Stewart Brand to </w:t>
      </w:r>
      <w:r w:rsidR="004548B0" w:rsidRPr="007D5B82">
        <w:rPr>
          <w:rFonts w:cs="Times New Roman"/>
        </w:rPr>
        <w:t xml:space="preserve">erect a 50-by-50 foot </w:t>
      </w:r>
      <w:r w:rsidR="004548B0">
        <w:rPr>
          <w:rFonts w:cs="Times New Roman"/>
        </w:rPr>
        <w:t>pneumatic enclosure</w:t>
      </w:r>
      <w:r w:rsidR="004548B0" w:rsidRPr="007D5B82">
        <w:rPr>
          <w:rFonts w:cs="Times New Roman"/>
        </w:rPr>
        <w:t xml:space="preserve"> and two geodesic domes in </w:t>
      </w:r>
      <w:r w:rsidR="004548B0">
        <w:rPr>
          <w:rFonts w:cs="Times New Roman"/>
        </w:rPr>
        <w:t>Saline Valley, California for t</w:t>
      </w:r>
      <w:r w:rsidR="004548B0" w:rsidRPr="007D5B82">
        <w:t xml:space="preserve">he production of the “Truth, Consequences” </w:t>
      </w:r>
      <w:r w:rsidR="0097462E">
        <w:t>supplement</w:t>
      </w:r>
      <w:r w:rsidR="004548B0">
        <w:rPr>
          <w:i/>
        </w:rPr>
        <w:t>.</w:t>
      </w:r>
      <w:r w:rsidR="004548B0" w:rsidRPr="007D5B82">
        <w:rPr>
          <w:rStyle w:val="EndnoteReference"/>
        </w:rPr>
        <w:endnoteReference w:id="51"/>
      </w:r>
      <w:r w:rsidR="000B0C70">
        <w:rPr>
          <w:i/>
        </w:rPr>
        <w:t xml:space="preserve"> </w:t>
      </w:r>
      <w:r w:rsidR="00AB3676" w:rsidRPr="007D5B82">
        <w:rPr>
          <w:rFonts w:cs="Arial"/>
        </w:rPr>
        <w:t>The</w:t>
      </w:r>
      <w:r w:rsidR="00BA6AD3">
        <w:rPr>
          <w:rFonts w:cs="Arial"/>
        </w:rPr>
        <w:t>ir</w:t>
      </w:r>
      <w:r w:rsidR="00AB3676" w:rsidRPr="007D5B82">
        <w:rPr>
          <w:rFonts w:cs="Arial"/>
        </w:rPr>
        <w:t xml:space="preserve"> air-inflated vinyl enclosure</w:t>
      </w:r>
      <w:r w:rsidR="00687766">
        <w:rPr>
          <w:rFonts w:cs="Arial"/>
        </w:rPr>
        <w:t xml:space="preserve">, a </w:t>
      </w:r>
      <w:r w:rsidR="00687766" w:rsidRPr="007D5B82">
        <w:rPr>
          <w:rFonts w:cs="Arial"/>
        </w:rPr>
        <w:t>transparent</w:t>
      </w:r>
      <w:r w:rsidR="00687766">
        <w:rPr>
          <w:rFonts w:cs="Arial"/>
        </w:rPr>
        <w:t xml:space="preserve"> </w:t>
      </w:r>
      <w:r w:rsidR="00687766" w:rsidRPr="007D5B82">
        <w:rPr>
          <w:rFonts w:cs="Arial"/>
        </w:rPr>
        <w:t>single-membrane</w:t>
      </w:r>
      <w:r w:rsidR="00687766">
        <w:rPr>
          <w:rFonts w:cs="Arial"/>
        </w:rPr>
        <w:t>,</w:t>
      </w:r>
      <w:r w:rsidR="00687766" w:rsidRPr="007D5B82">
        <w:rPr>
          <w:rFonts w:cs="Arial"/>
        </w:rPr>
        <w:t xml:space="preserve"> </w:t>
      </w:r>
      <w:r w:rsidR="00AB3676" w:rsidRPr="007D5B82">
        <w:rPr>
          <w:rFonts w:cs="Arial"/>
        </w:rPr>
        <w:t xml:space="preserve">featured a second semi-inflated opaque white roof to </w:t>
      </w:r>
      <w:r w:rsidR="00607D37">
        <w:rPr>
          <w:rFonts w:cs="Arial"/>
        </w:rPr>
        <w:t>deflect</w:t>
      </w:r>
      <w:r w:rsidR="00607D37" w:rsidRPr="007D5B82">
        <w:rPr>
          <w:rFonts w:cs="Arial"/>
        </w:rPr>
        <w:t xml:space="preserve"> </w:t>
      </w:r>
      <w:r w:rsidR="00AB3676" w:rsidRPr="007D5B82">
        <w:rPr>
          <w:rFonts w:cs="Arial"/>
        </w:rPr>
        <w:t>the sun</w:t>
      </w:r>
      <w:r w:rsidR="005B1AF0">
        <w:rPr>
          <w:rFonts w:cs="Arial"/>
        </w:rPr>
        <w:t xml:space="preserve">. In addition, </w:t>
      </w:r>
      <w:r w:rsidR="00AB3676" w:rsidRPr="007D5B82">
        <w:rPr>
          <w:rFonts w:cs="Arial"/>
        </w:rPr>
        <w:t>a giant cable net was designed to counteract uplift</w:t>
      </w:r>
      <w:r w:rsidR="00607D37">
        <w:rPr>
          <w:rFonts w:cs="Arial"/>
        </w:rPr>
        <w:t xml:space="preserve"> </w:t>
      </w:r>
      <w:r w:rsidR="00607D37" w:rsidRPr="007D5B82">
        <w:rPr>
          <w:rFonts w:cs="Arial"/>
        </w:rPr>
        <w:t>with tie-downs</w:t>
      </w:r>
      <w:r w:rsidR="00AB3676" w:rsidRPr="007D5B82">
        <w:rPr>
          <w:rFonts w:cs="Arial"/>
        </w:rPr>
        <w:t xml:space="preserve">. </w:t>
      </w:r>
      <w:r w:rsidR="00A0059A" w:rsidRPr="007D5B82">
        <w:rPr>
          <w:rFonts w:cs="Arial"/>
        </w:rPr>
        <w:t>Attempts</w:t>
      </w:r>
      <w:r w:rsidR="002742BF" w:rsidRPr="007D5B82">
        <w:rPr>
          <w:rFonts w:cs="Arial"/>
        </w:rPr>
        <w:t xml:space="preserve"> to respond to </w:t>
      </w:r>
      <w:r w:rsidR="001166DE">
        <w:rPr>
          <w:rFonts w:cs="Arial"/>
        </w:rPr>
        <w:t xml:space="preserve">the </w:t>
      </w:r>
      <w:r w:rsidR="00AB3676" w:rsidRPr="007D5B82">
        <w:rPr>
          <w:rFonts w:cs="Arial"/>
        </w:rPr>
        <w:t>extreme temperatures</w:t>
      </w:r>
      <w:r w:rsidR="001166DE">
        <w:rPr>
          <w:rFonts w:cs="Arial"/>
        </w:rPr>
        <w:t xml:space="preserve"> that ranged from </w:t>
      </w:r>
      <w:r w:rsidR="00AB3676" w:rsidRPr="007D5B82">
        <w:rPr>
          <w:rFonts w:cs="Arial"/>
        </w:rPr>
        <w:t>106 degrees to freezing</w:t>
      </w:r>
      <w:r w:rsidR="002000E3">
        <w:rPr>
          <w:rFonts w:cs="Arial"/>
        </w:rPr>
        <w:t>,</w:t>
      </w:r>
      <w:r w:rsidR="00AB3676" w:rsidRPr="007D5B82">
        <w:rPr>
          <w:rFonts w:cs="Arial"/>
        </w:rPr>
        <w:t xml:space="preserve"> </w:t>
      </w:r>
      <w:r w:rsidR="001166DE">
        <w:rPr>
          <w:rFonts w:cs="Arial"/>
        </w:rPr>
        <w:t>coupled with</w:t>
      </w:r>
      <w:r w:rsidR="001166DE" w:rsidRPr="007D5B82">
        <w:rPr>
          <w:rFonts w:cs="Arial"/>
        </w:rPr>
        <w:t xml:space="preserve"> </w:t>
      </w:r>
      <w:r w:rsidR="001166DE">
        <w:rPr>
          <w:rFonts w:cs="Arial"/>
        </w:rPr>
        <w:t xml:space="preserve">the </w:t>
      </w:r>
      <w:r w:rsidR="00AB3676" w:rsidRPr="007D5B82">
        <w:rPr>
          <w:rFonts w:cs="Arial"/>
        </w:rPr>
        <w:t>unusually high winds</w:t>
      </w:r>
      <w:r w:rsidR="002000E3">
        <w:rPr>
          <w:rFonts w:cs="Arial"/>
        </w:rPr>
        <w:t>,</w:t>
      </w:r>
      <w:r w:rsidR="00AB3676" w:rsidRPr="007D5B82">
        <w:rPr>
          <w:rFonts w:cs="Arial"/>
        </w:rPr>
        <w:t xml:space="preserve"> ultimately failed</w:t>
      </w:r>
      <w:r w:rsidR="00D80CA3" w:rsidRPr="007D5B82">
        <w:rPr>
          <w:rFonts w:cs="Arial"/>
        </w:rPr>
        <w:t xml:space="preserve">. </w:t>
      </w:r>
      <w:r w:rsidR="0048788F" w:rsidRPr="007D5B82">
        <w:rPr>
          <w:rFonts w:cs="Arial"/>
        </w:rPr>
        <w:t>For Ant Farm, the</w:t>
      </w:r>
      <w:r w:rsidR="007241F8" w:rsidRPr="007D5B82">
        <w:rPr>
          <w:rFonts w:cs="Arial"/>
        </w:rPr>
        <w:t xml:space="preserve"> difficulties posed by the desert</w:t>
      </w:r>
      <w:r w:rsidR="0048788F" w:rsidRPr="007D5B82">
        <w:rPr>
          <w:rFonts w:cs="Arial"/>
        </w:rPr>
        <w:t xml:space="preserve"> conditions led to an inflatable impossibility. </w:t>
      </w:r>
      <w:r w:rsidR="004C5679" w:rsidRPr="007D5B82">
        <w:rPr>
          <w:rFonts w:cs="Arial"/>
        </w:rPr>
        <w:t xml:space="preserve">As a result, the catalog </w:t>
      </w:r>
      <w:r w:rsidR="00134F97">
        <w:rPr>
          <w:rFonts w:cs="Arial"/>
        </w:rPr>
        <w:t xml:space="preserve">supplement </w:t>
      </w:r>
      <w:r w:rsidR="00A0059A" w:rsidRPr="007D5B82">
        <w:rPr>
          <w:rFonts w:cs="Arial"/>
        </w:rPr>
        <w:t>was assembled in</w:t>
      </w:r>
      <w:r w:rsidR="004C5679" w:rsidRPr="007D5B82">
        <w:rPr>
          <w:rFonts w:cs="Arial"/>
        </w:rPr>
        <w:t xml:space="preserve"> </w:t>
      </w:r>
      <w:r w:rsidR="00BA6AD3">
        <w:rPr>
          <w:rFonts w:cs="Arial"/>
        </w:rPr>
        <w:t>an</w:t>
      </w:r>
      <w:r w:rsidR="002000E3" w:rsidRPr="007D5B82">
        <w:rPr>
          <w:rFonts w:cs="Arial"/>
        </w:rPr>
        <w:t xml:space="preserve"> </w:t>
      </w:r>
      <w:r w:rsidR="00A0059A" w:rsidRPr="007D5B82">
        <w:rPr>
          <w:rFonts w:cs="Arial"/>
        </w:rPr>
        <w:t>airstream trailer</w:t>
      </w:r>
      <w:r w:rsidR="002000E3">
        <w:rPr>
          <w:rFonts w:cs="Arial"/>
        </w:rPr>
        <w:t xml:space="preserve"> </w:t>
      </w:r>
      <w:r w:rsidR="00BA6AD3">
        <w:rPr>
          <w:rFonts w:cs="Arial"/>
        </w:rPr>
        <w:t xml:space="preserve">Brand </w:t>
      </w:r>
      <w:r w:rsidR="002000E3">
        <w:rPr>
          <w:rFonts w:cs="Arial"/>
        </w:rPr>
        <w:t>shared with his wife, Lois</w:t>
      </w:r>
      <w:r w:rsidR="00404464" w:rsidRPr="007D5B82">
        <w:rPr>
          <w:rFonts w:cs="Arial"/>
        </w:rPr>
        <w:t xml:space="preserve">. </w:t>
      </w:r>
      <w:r w:rsidR="00A0059A" w:rsidRPr="007D5B82">
        <w:t xml:space="preserve">The </w:t>
      </w:r>
      <w:r w:rsidR="0048788F" w:rsidRPr="007D5B82">
        <w:t>pillow’s</w:t>
      </w:r>
      <w:r w:rsidR="00584A51" w:rsidRPr="007D5B82">
        <w:t xml:space="preserve"> failure demonstrated the limitations of air structures</w:t>
      </w:r>
      <w:r w:rsidR="006C7BD3">
        <w:t xml:space="preserve"> and</w:t>
      </w:r>
      <w:r w:rsidR="00404464" w:rsidRPr="007D5B82">
        <w:t xml:space="preserve"> convert</w:t>
      </w:r>
      <w:r w:rsidR="006C7BD3">
        <w:t>ed</w:t>
      </w:r>
      <w:r w:rsidR="000D3B7E" w:rsidRPr="007D5B82">
        <w:t xml:space="preserve"> Brand</w:t>
      </w:r>
      <w:r w:rsidR="00584A51" w:rsidRPr="007D5B82">
        <w:t xml:space="preserve"> </w:t>
      </w:r>
      <w:r w:rsidR="000D3B7E" w:rsidRPr="007D5B82">
        <w:t xml:space="preserve">from a pneumatic advocate </w:t>
      </w:r>
      <w:r w:rsidR="00A0059A" w:rsidRPr="007D5B82">
        <w:t xml:space="preserve">to </w:t>
      </w:r>
      <w:r w:rsidR="00840052" w:rsidRPr="007D5B82">
        <w:t>skeptic</w:t>
      </w:r>
      <w:r w:rsidR="006C7BD3">
        <w:t xml:space="preserve"> (</w:t>
      </w:r>
      <w:r w:rsidR="00831906" w:rsidRPr="007D5B82">
        <w:t xml:space="preserve">if not </w:t>
      </w:r>
      <w:r w:rsidR="006C7BD3">
        <w:t xml:space="preserve">a </w:t>
      </w:r>
      <w:r w:rsidR="000D3B7E" w:rsidRPr="007D5B82">
        <w:t>denouncing critic</w:t>
      </w:r>
      <w:r w:rsidR="006C7BD3">
        <w:t>)</w:t>
      </w:r>
      <w:r w:rsidR="00831906" w:rsidRPr="007D5B82">
        <w:t xml:space="preserve"> </w:t>
      </w:r>
      <w:r w:rsidR="00840052" w:rsidRPr="007D5B82">
        <w:t xml:space="preserve">virtually </w:t>
      </w:r>
      <w:r w:rsidR="000D3B7E" w:rsidRPr="007D5B82">
        <w:t>overnight.</w:t>
      </w:r>
      <w:r w:rsidR="00831906" w:rsidRPr="007D5B82">
        <w:rPr>
          <w:rStyle w:val="EndnoteReference"/>
        </w:rPr>
        <w:endnoteReference w:id="52"/>
      </w:r>
      <w:r w:rsidR="000D3B7E" w:rsidRPr="007D5B82">
        <w:t xml:space="preserve"> </w:t>
      </w:r>
    </w:p>
    <w:p w14:paraId="230516DA" w14:textId="77777777" w:rsidR="0097462E" w:rsidRPr="007D5B82" w:rsidRDefault="0097462E" w:rsidP="004F42D1"/>
    <w:p w14:paraId="2500D79A" w14:textId="4E44034C" w:rsidR="004F42D1" w:rsidRPr="007D5B82" w:rsidRDefault="00404464" w:rsidP="004F42D1">
      <w:r w:rsidRPr="007D5B82">
        <w:t xml:space="preserve">Coincidentally, </w:t>
      </w:r>
      <w:r w:rsidR="00A0059A" w:rsidRPr="007D5B82">
        <w:t xml:space="preserve">as </w:t>
      </w:r>
      <w:r w:rsidRPr="007D5B82">
        <w:t xml:space="preserve">Ant Farm </w:t>
      </w:r>
      <w:r w:rsidR="00960050" w:rsidRPr="007D5B82">
        <w:t xml:space="preserve">was packing up their plastic </w:t>
      </w:r>
      <w:r w:rsidR="0048788F" w:rsidRPr="007D5B82">
        <w:t xml:space="preserve">pillow in </w:t>
      </w:r>
      <w:r w:rsidR="00960050" w:rsidRPr="007D5B82">
        <w:t xml:space="preserve">defeat, </w:t>
      </w:r>
      <w:r w:rsidRPr="007D5B82">
        <w:t xml:space="preserve">Chrysalis was headed </w:t>
      </w:r>
      <w:r w:rsidR="00960050" w:rsidRPr="007D5B82">
        <w:t>to the desert</w:t>
      </w:r>
      <w:r w:rsidR="00D15E8F">
        <w:t xml:space="preserve"> to</w:t>
      </w:r>
      <w:r w:rsidR="00960050" w:rsidRPr="007D5B82">
        <w:t xml:space="preserve"> seek out environmental extremes</w:t>
      </w:r>
      <w:r w:rsidR="00D15E8F">
        <w:t xml:space="preserve"> in which</w:t>
      </w:r>
      <w:r w:rsidR="00960050" w:rsidRPr="007D5B82">
        <w:t xml:space="preserve"> to </w:t>
      </w:r>
      <w:r w:rsidR="0048788F" w:rsidRPr="007D5B82">
        <w:t xml:space="preserve">test </w:t>
      </w:r>
      <w:r w:rsidRPr="007D5B82">
        <w:t>their pneumatic experiments</w:t>
      </w:r>
      <w:r w:rsidR="00960050" w:rsidRPr="007D5B82">
        <w:t xml:space="preserve">. </w:t>
      </w:r>
      <w:r w:rsidR="004F42D1" w:rsidRPr="007D5B82">
        <w:t xml:space="preserve">As Davies explains, “In the spirit of </w:t>
      </w:r>
      <w:r w:rsidR="004F42D1" w:rsidRPr="007D5B82">
        <w:rPr>
          <w:i/>
        </w:rPr>
        <w:t xml:space="preserve">Dune, </w:t>
      </w:r>
      <w:r w:rsidR="004F42D1" w:rsidRPr="007D5B82">
        <w:t>the first eco-novel of the 1960s, we decided to build some oddball inflatable environments, some experimental solar collectors and dese</w:t>
      </w:r>
      <w:r w:rsidR="0048788F" w:rsidRPr="007D5B82">
        <w:t>rt survival suits for ourselves</w:t>
      </w:r>
      <w:r w:rsidR="004F42D1" w:rsidRPr="007D5B82">
        <w:t>”</w:t>
      </w:r>
      <w:r w:rsidR="0048788F" w:rsidRPr="007D5B82">
        <w:t xml:space="preserve"> </w:t>
      </w:r>
      <w:r w:rsidR="0048788F" w:rsidRPr="007D5B82">
        <w:rPr>
          <w:b/>
        </w:rPr>
        <w:t xml:space="preserve">(Fig. </w:t>
      </w:r>
      <w:r w:rsidR="00866C4A" w:rsidRPr="007D5B82">
        <w:rPr>
          <w:b/>
        </w:rPr>
        <w:t>1</w:t>
      </w:r>
      <w:r w:rsidR="00866C4A">
        <w:rPr>
          <w:b/>
        </w:rPr>
        <w:t>2</w:t>
      </w:r>
      <w:r w:rsidR="0048788F" w:rsidRPr="007D5B82">
        <w:rPr>
          <w:b/>
        </w:rPr>
        <w:t>)</w:t>
      </w:r>
      <w:r w:rsidR="0048788F" w:rsidRPr="007D5B82">
        <w:t>.</w:t>
      </w:r>
      <w:r w:rsidR="004F42D1" w:rsidRPr="007D5B82">
        <w:rPr>
          <w:rStyle w:val="EndnoteReference"/>
          <w:szCs w:val="20"/>
        </w:rPr>
        <w:endnoteReference w:id="53"/>
      </w:r>
      <w:r w:rsidR="004F42D1" w:rsidRPr="007D5B82">
        <w:t xml:space="preserve"> He continues, </w:t>
      </w:r>
    </w:p>
    <w:p w14:paraId="2C5C015E" w14:textId="5387E243" w:rsidR="004F42D1" w:rsidRPr="007D5B82" w:rsidRDefault="004F42D1" w:rsidP="005B2F0E">
      <w:pPr>
        <w:pStyle w:val="Quotation"/>
        <w:contextualSpacing/>
      </w:pPr>
      <w:r w:rsidRPr="007D5B82">
        <w:t xml:space="preserve">We obtained the obligatory roll of Mylar shiny film and cut out nice body-tailored outfits and silver drapes to keep the sun off. In the broiling heat, we put </w:t>
      </w:r>
      <w:r w:rsidR="00BA273E" w:rsidRPr="007D5B82">
        <w:t>ou</w:t>
      </w:r>
      <w:r w:rsidR="00BA273E">
        <w:t>r</w:t>
      </w:r>
      <w:r w:rsidR="00BA273E" w:rsidRPr="007D5B82">
        <w:t xml:space="preserve"> </w:t>
      </w:r>
      <w:r w:rsidRPr="007D5B82">
        <w:t xml:space="preserve">silver suits on and were drenched to the skin within five seconds! We learnt very quickly that in that environment, body transpiration is staggeringly high and without air circulation, you virtually drown in your own exuded body fluids! Back to the drawing </w:t>
      </w:r>
      <w:proofErr w:type="gramStart"/>
      <w:r w:rsidRPr="007D5B82">
        <w:t>board!—</w:t>
      </w:r>
      <w:proofErr w:type="gramEnd"/>
      <w:r w:rsidRPr="007D5B82">
        <w:t>cookie cutters with spurs, prickly wheels all over the suits, vent holes! The modified suits were more tolerable—even though they were still sweaty, they were definitely keeping us cooler.</w:t>
      </w:r>
      <w:r w:rsidR="005B2F0E" w:rsidRPr="007D5B82">
        <w:rPr>
          <w:rStyle w:val="EndnoteReference"/>
        </w:rPr>
        <w:endnoteReference w:id="54"/>
      </w:r>
    </w:p>
    <w:p w14:paraId="67C3DED0" w14:textId="77777777" w:rsidR="00B53E91" w:rsidRPr="007D5B82" w:rsidRDefault="00B53E91" w:rsidP="005B2F0E">
      <w:pPr>
        <w:pStyle w:val="Quotation"/>
        <w:ind w:left="0"/>
        <w:contextualSpacing/>
      </w:pPr>
    </w:p>
    <w:p w14:paraId="148934C2" w14:textId="61686FCA" w:rsidR="009115B3" w:rsidRPr="007D5B82" w:rsidRDefault="00B53E91" w:rsidP="00DB7FF8">
      <w:pPr>
        <w:pStyle w:val="Quotation"/>
        <w:spacing w:after="120" w:line="360" w:lineRule="auto"/>
        <w:ind w:left="0"/>
        <w:contextualSpacing/>
        <w:rPr>
          <w:sz w:val="20"/>
        </w:rPr>
      </w:pPr>
      <w:r w:rsidRPr="007D5B82">
        <w:rPr>
          <w:sz w:val="20"/>
        </w:rPr>
        <w:t xml:space="preserve">What Chrysalis </w:t>
      </w:r>
      <w:r w:rsidR="00A81788">
        <w:rPr>
          <w:sz w:val="20"/>
        </w:rPr>
        <w:t>gained</w:t>
      </w:r>
      <w:r w:rsidR="00A81788" w:rsidRPr="007D5B82">
        <w:rPr>
          <w:sz w:val="20"/>
        </w:rPr>
        <w:t xml:space="preserve"> </w:t>
      </w:r>
      <w:r w:rsidRPr="007D5B82">
        <w:rPr>
          <w:sz w:val="20"/>
        </w:rPr>
        <w:t>from these desert experiments was “an understanding of construction and environmental engineering.”</w:t>
      </w:r>
      <w:r w:rsidR="005B2F0E" w:rsidRPr="007D5B82">
        <w:rPr>
          <w:rStyle w:val="EndnoteReference"/>
        </w:rPr>
        <w:endnoteReference w:id="55"/>
      </w:r>
      <w:r w:rsidRPr="007D5B82">
        <w:rPr>
          <w:sz w:val="20"/>
        </w:rPr>
        <w:t xml:space="preserve"> </w:t>
      </w:r>
      <w:r w:rsidR="005B2F0E" w:rsidRPr="007D5B82">
        <w:rPr>
          <w:sz w:val="20"/>
        </w:rPr>
        <w:t xml:space="preserve">Through trial and error, they tested the pros and cons of various material assemblies with respect to solar gain and airflow rates. </w:t>
      </w:r>
      <w:r w:rsidR="0048788F" w:rsidRPr="007D5B82">
        <w:rPr>
          <w:sz w:val="20"/>
        </w:rPr>
        <w:t>Namely, Chrysalis’ research began with the concept of failure</w:t>
      </w:r>
      <w:r w:rsidR="005B2F0E" w:rsidRPr="007D5B82">
        <w:rPr>
          <w:sz w:val="20"/>
        </w:rPr>
        <w:t xml:space="preserve"> and </w:t>
      </w:r>
      <w:r w:rsidR="0048788F" w:rsidRPr="007D5B82">
        <w:rPr>
          <w:sz w:val="20"/>
        </w:rPr>
        <w:t>a pneumatic “project” emerged</w:t>
      </w:r>
      <w:r w:rsidR="00A81788">
        <w:rPr>
          <w:sz w:val="20"/>
        </w:rPr>
        <w:t xml:space="preserve"> </w:t>
      </w:r>
      <w:r w:rsidR="00A81788" w:rsidRPr="007D5B82">
        <w:rPr>
          <w:sz w:val="20"/>
        </w:rPr>
        <w:t>from these field tests</w:t>
      </w:r>
      <w:r w:rsidR="0048788F" w:rsidRPr="007D5B82">
        <w:rPr>
          <w:sz w:val="20"/>
        </w:rPr>
        <w:t xml:space="preserve">. </w:t>
      </w:r>
      <w:r w:rsidR="00A81788">
        <w:rPr>
          <w:sz w:val="20"/>
        </w:rPr>
        <w:t>B</w:t>
      </w:r>
      <w:r w:rsidR="0048788F" w:rsidRPr="007D5B82">
        <w:rPr>
          <w:sz w:val="20"/>
        </w:rPr>
        <w:t xml:space="preserve">uilding performance and human comfort were </w:t>
      </w:r>
      <w:r w:rsidR="001E5748" w:rsidRPr="007D5B82">
        <w:rPr>
          <w:sz w:val="20"/>
        </w:rPr>
        <w:t>evaluated</w:t>
      </w:r>
      <w:r w:rsidR="0048788F" w:rsidRPr="007D5B82">
        <w:rPr>
          <w:sz w:val="20"/>
        </w:rPr>
        <w:t xml:space="preserve"> under drastic scenarios that could be measured both qua</w:t>
      </w:r>
      <w:r w:rsidR="004C0ACA" w:rsidRPr="007D5B82">
        <w:rPr>
          <w:sz w:val="20"/>
        </w:rPr>
        <w:t>litatively and quantitatively (</w:t>
      </w:r>
      <w:r w:rsidR="00D80CA3" w:rsidRPr="007D5B82">
        <w:rPr>
          <w:sz w:val="20"/>
        </w:rPr>
        <w:t>e.g</w:t>
      </w:r>
      <w:r w:rsidR="004C0ACA" w:rsidRPr="007D5B82">
        <w:rPr>
          <w:sz w:val="20"/>
        </w:rPr>
        <w:t xml:space="preserve">., </w:t>
      </w:r>
      <w:r w:rsidR="0048788F" w:rsidRPr="007D5B82">
        <w:rPr>
          <w:sz w:val="20"/>
        </w:rPr>
        <w:t xml:space="preserve">solar exposure, heat gain and loss, </w:t>
      </w:r>
      <w:r w:rsidR="004C0ACA" w:rsidRPr="007D5B82">
        <w:rPr>
          <w:sz w:val="20"/>
        </w:rPr>
        <w:t>condensation, etc.)</w:t>
      </w:r>
      <w:r w:rsidR="00A81788">
        <w:rPr>
          <w:sz w:val="20"/>
        </w:rPr>
        <w:t>.</w:t>
      </w:r>
      <w:r w:rsidR="004C0ACA" w:rsidRPr="007D5B82">
        <w:rPr>
          <w:sz w:val="20"/>
        </w:rPr>
        <w:t xml:space="preserve"> </w:t>
      </w:r>
      <w:r w:rsidR="00527277" w:rsidRPr="007D5B82">
        <w:rPr>
          <w:sz w:val="20"/>
        </w:rPr>
        <w:t>Upon closer inspection,</w:t>
      </w:r>
      <w:r w:rsidR="00A81788">
        <w:rPr>
          <w:sz w:val="20"/>
        </w:rPr>
        <w:t xml:space="preserve"> however,</w:t>
      </w:r>
      <w:r w:rsidR="00527277" w:rsidRPr="007D5B82">
        <w:rPr>
          <w:sz w:val="20"/>
        </w:rPr>
        <w:t xml:space="preserve"> their “experimental solar collectors and dese</w:t>
      </w:r>
      <w:r w:rsidR="0028431C" w:rsidRPr="007D5B82">
        <w:rPr>
          <w:sz w:val="20"/>
        </w:rPr>
        <w:t xml:space="preserve">rt survival suits” functioned as architectural instruments to assess passive building technologies under extraordinary circumstances. </w:t>
      </w:r>
      <w:r w:rsidR="00A81788">
        <w:rPr>
          <w:sz w:val="20"/>
        </w:rPr>
        <w:t>T</w:t>
      </w:r>
      <w:r w:rsidR="0028431C" w:rsidRPr="007D5B82">
        <w:rPr>
          <w:sz w:val="20"/>
        </w:rPr>
        <w:t xml:space="preserve">he </w:t>
      </w:r>
      <w:r w:rsidR="009B4DD1">
        <w:rPr>
          <w:sz w:val="20"/>
        </w:rPr>
        <w:t xml:space="preserve">standard </w:t>
      </w:r>
      <w:r w:rsidR="00DD4648" w:rsidRPr="007D5B82">
        <w:rPr>
          <w:sz w:val="20"/>
        </w:rPr>
        <w:lastRenderedPageBreak/>
        <w:t xml:space="preserve">readymade </w:t>
      </w:r>
      <w:r w:rsidR="0028431C" w:rsidRPr="007D5B82">
        <w:rPr>
          <w:sz w:val="20"/>
        </w:rPr>
        <w:t>pneumatic arsenal of plastic, vinyl</w:t>
      </w:r>
      <w:r w:rsidR="00D63185">
        <w:rPr>
          <w:sz w:val="20"/>
        </w:rPr>
        <w:t>,</w:t>
      </w:r>
      <w:r w:rsidR="0028431C" w:rsidRPr="007D5B82">
        <w:rPr>
          <w:sz w:val="20"/>
        </w:rPr>
        <w:t xml:space="preserve"> and Mylar </w:t>
      </w:r>
      <w:r w:rsidR="00DD4648" w:rsidRPr="007D5B82">
        <w:rPr>
          <w:sz w:val="20"/>
        </w:rPr>
        <w:t xml:space="preserve">was deployed, analyzed, and modified to amplify material performance. </w:t>
      </w:r>
    </w:p>
    <w:p w14:paraId="44A62FDD" w14:textId="77777777" w:rsidR="00DB7FF8" w:rsidRPr="007D5B82" w:rsidRDefault="00DB7FF8" w:rsidP="00DB7FF8"/>
    <w:p w14:paraId="79A9D964" w14:textId="0D31D157" w:rsidR="0032244D" w:rsidRPr="007D5B82" w:rsidRDefault="00807600" w:rsidP="001B17F6">
      <w:r w:rsidRPr="007D5B82">
        <w:t>Chrysalis</w:t>
      </w:r>
      <w:r w:rsidR="0032244D" w:rsidRPr="007D5B82">
        <w:t xml:space="preserve"> </w:t>
      </w:r>
      <w:r w:rsidR="004303BB">
        <w:t xml:space="preserve">once again </w:t>
      </w:r>
      <w:r w:rsidR="0032244D" w:rsidRPr="007D5B82">
        <w:t>brought one of their pneumatic prototypes to the desert</w:t>
      </w:r>
      <w:r w:rsidR="00A34BB6" w:rsidRPr="007D5B82">
        <w:t xml:space="preserve">, this time </w:t>
      </w:r>
      <w:r>
        <w:t xml:space="preserve">as a </w:t>
      </w:r>
      <w:r w:rsidRPr="007D5B82">
        <w:t>demonstrat</w:t>
      </w:r>
      <w:r>
        <w:t xml:space="preserve">ion in </w:t>
      </w:r>
      <w:r w:rsidR="00A34BB6" w:rsidRPr="007D5B82">
        <w:t xml:space="preserve">its ability to be easily deployed </w:t>
      </w:r>
      <w:r>
        <w:t>am</w:t>
      </w:r>
      <w:r w:rsidR="004E6CC2">
        <w:t>id</w:t>
      </w:r>
      <w:r w:rsidRPr="007D5B82">
        <w:t xml:space="preserve"> </w:t>
      </w:r>
      <w:r w:rsidR="00A34BB6" w:rsidRPr="007D5B82">
        <w:t>any environment</w:t>
      </w:r>
      <w:r w:rsidR="0032244D" w:rsidRPr="007D5B82">
        <w:t xml:space="preserve"> </w:t>
      </w:r>
      <w:r w:rsidR="0032244D" w:rsidRPr="007D5B82">
        <w:rPr>
          <w:b/>
        </w:rPr>
        <w:t xml:space="preserve">(Fig. </w:t>
      </w:r>
      <w:r w:rsidR="00866C4A" w:rsidRPr="007D5B82">
        <w:rPr>
          <w:b/>
        </w:rPr>
        <w:t>1</w:t>
      </w:r>
      <w:r w:rsidR="00866C4A">
        <w:rPr>
          <w:b/>
        </w:rPr>
        <w:t>3</w:t>
      </w:r>
      <w:r w:rsidR="0032244D" w:rsidRPr="007D5B82">
        <w:rPr>
          <w:b/>
        </w:rPr>
        <w:t>)</w:t>
      </w:r>
      <w:r w:rsidR="0032244D" w:rsidRPr="007D5B82">
        <w:t xml:space="preserve">. </w:t>
      </w:r>
      <w:proofErr w:type="spellStart"/>
      <w:r w:rsidR="0032244D" w:rsidRPr="007D5B82">
        <w:t>Strolee</w:t>
      </w:r>
      <w:proofErr w:type="spellEnd"/>
      <w:r w:rsidR="0032244D" w:rsidRPr="007D5B82">
        <w:t xml:space="preserve">, a major maker of products for young children, approached the architects to develop an inflatable enclosure for toddlers. </w:t>
      </w:r>
      <w:r w:rsidR="00AF60FB">
        <w:t>O</w:t>
      </w:r>
      <w:r w:rsidR="00AF60FB" w:rsidRPr="007D5B82">
        <w:t>perat</w:t>
      </w:r>
      <w:r w:rsidR="00AF60FB">
        <w:t>ing</w:t>
      </w:r>
      <w:r w:rsidR="00AF60FB" w:rsidRPr="007D5B82">
        <w:t xml:space="preserve"> as a </w:t>
      </w:r>
      <w:r w:rsidR="00AF60FB">
        <w:t xml:space="preserve">flexible, </w:t>
      </w:r>
      <w:r w:rsidR="00AF60FB" w:rsidRPr="007D5B82">
        <w:t xml:space="preserve">lightweight, </w:t>
      </w:r>
      <w:r w:rsidR="00AF60FB">
        <w:t xml:space="preserve">mobile, and instantaneous </w:t>
      </w:r>
      <w:r w:rsidR="00AF60FB" w:rsidRPr="007D5B82">
        <w:t>enclosure</w:t>
      </w:r>
      <w:r w:rsidR="00AF60FB">
        <w:t>,</w:t>
      </w:r>
      <w:r w:rsidR="00AF60FB" w:rsidRPr="007D5B82">
        <w:rPr>
          <w:i/>
        </w:rPr>
        <w:t xml:space="preserve"> </w:t>
      </w:r>
      <w:proofErr w:type="spellStart"/>
      <w:r w:rsidR="0032244D" w:rsidRPr="007D5B82">
        <w:rPr>
          <w:i/>
        </w:rPr>
        <w:t>Strolee</w:t>
      </w:r>
      <w:proofErr w:type="spellEnd"/>
      <w:r w:rsidR="0032244D" w:rsidRPr="007D5B82">
        <w:rPr>
          <w:i/>
        </w:rPr>
        <w:t xml:space="preserve"> Playpen </w:t>
      </w:r>
      <w:r w:rsidR="0032244D" w:rsidRPr="007D5B82">
        <w:t xml:space="preserve">(1971) </w:t>
      </w:r>
      <w:r w:rsidR="00AF60FB" w:rsidRPr="007D5B82">
        <w:t xml:space="preserve">was sealed with a valve and </w:t>
      </w:r>
      <w:r w:rsidR="0032244D" w:rsidRPr="007D5B82">
        <w:t>could travel just about anywhere</w:t>
      </w:r>
      <w:r w:rsidR="00AF60FB">
        <w:t xml:space="preserve"> </w:t>
      </w:r>
      <w:r w:rsidR="00AF60FB" w:rsidRPr="007D5B82">
        <w:rPr>
          <w:b/>
        </w:rPr>
        <w:t>(Fig. 1</w:t>
      </w:r>
      <w:r w:rsidR="00AF60FB">
        <w:rPr>
          <w:b/>
        </w:rPr>
        <w:t>4</w:t>
      </w:r>
      <w:r w:rsidR="00FC3438">
        <w:rPr>
          <w:b/>
        </w:rPr>
        <w:t>)</w:t>
      </w:r>
      <w:r w:rsidR="0032244D" w:rsidRPr="007D5B82">
        <w:t xml:space="preserve">. </w:t>
      </w:r>
      <w:r w:rsidR="001B17F6">
        <w:t>One</w:t>
      </w:r>
      <w:r w:rsidR="0032244D" w:rsidRPr="007D5B82">
        <w:t xml:space="preserve"> prototype, constructed from white </w:t>
      </w:r>
      <w:r w:rsidR="001B17F6">
        <w:t>and clear PVC</w:t>
      </w:r>
      <w:r w:rsidR="00315780" w:rsidRPr="007D5B82">
        <w:rPr>
          <w:rStyle w:val="CommentReference"/>
        </w:rPr>
        <w:t>,</w:t>
      </w:r>
      <w:r w:rsidR="0032244D" w:rsidRPr="007D5B82">
        <w:t xml:space="preserve"> </w:t>
      </w:r>
      <w:r w:rsidR="001B17F6" w:rsidRPr="007D5B82">
        <w:t>feature</w:t>
      </w:r>
      <w:r w:rsidR="001B17F6">
        <w:t>d</w:t>
      </w:r>
      <w:r w:rsidR="001B17F6" w:rsidRPr="007D5B82">
        <w:t xml:space="preserve"> </w:t>
      </w:r>
      <w:r w:rsidR="00DD0E1C">
        <w:t>a</w:t>
      </w:r>
      <w:r w:rsidR="00DD0E1C" w:rsidRPr="007D5B82">
        <w:t xml:space="preserve"> series of plastic snaps along the</w:t>
      </w:r>
      <w:r w:rsidR="00DD0E1C">
        <w:t xml:space="preserve"> playpen’s</w:t>
      </w:r>
      <w:r w:rsidR="00DD0E1C" w:rsidRPr="007D5B82">
        <w:t xml:space="preserve"> </w:t>
      </w:r>
      <w:r w:rsidR="00DD0E1C">
        <w:t>six</w:t>
      </w:r>
      <w:r w:rsidR="00DD0E1C" w:rsidRPr="007D5B82">
        <w:t xml:space="preserve"> </w:t>
      </w:r>
      <w:r w:rsidR="00DD0E1C">
        <w:t xml:space="preserve">arches, which </w:t>
      </w:r>
      <w:r w:rsidR="00DD0E1C" w:rsidRPr="007D5B82">
        <w:t xml:space="preserve">allowed adults to </w:t>
      </w:r>
      <w:r w:rsidR="00DD0E1C">
        <w:t>monitor a child’s movement. A</w:t>
      </w:r>
      <w:r w:rsidR="0032244D" w:rsidRPr="007D5B82">
        <w:t xml:space="preserve"> thin orange </w:t>
      </w:r>
      <w:r w:rsidR="00CC0A7C">
        <w:t>cord</w:t>
      </w:r>
      <w:r w:rsidR="0032244D" w:rsidRPr="007D5B82">
        <w:t xml:space="preserve"> along the interior edge</w:t>
      </w:r>
      <w:r w:rsidR="00DD0E1C">
        <w:t xml:space="preserve"> also </w:t>
      </w:r>
      <w:r w:rsidR="00DD0E1C" w:rsidRPr="007D5B82">
        <w:t>facilitat</w:t>
      </w:r>
      <w:r w:rsidR="00DD0E1C">
        <w:t>ed</w:t>
      </w:r>
      <w:r w:rsidR="00DD0E1C" w:rsidRPr="007D5B82">
        <w:t xml:space="preserve"> </w:t>
      </w:r>
      <w:r w:rsidR="0032244D" w:rsidRPr="007D5B82">
        <w:t xml:space="preserve">vertical stability in young toddlers. According to Valerio, “The design was simple, inexpensive, and the </w:t>
      </w:r>
      <w:proofErr w:type="spellStart"/>
      <w:r w:rsidR="0032244D" w:rsidRPr="007D5B82">
        <w:t>Strolee</w:t>
      </w:r>
      <w:proofErr w:type="spellEnd"/>
      <w:r w:rsidR="0032244D" w:rsidRPr="007D5B82">
        <w:t xml:space="preserve"> analysts described as completely safe. But, in the end the company felt the idea was just too forward leaning, and it never went into production.”</w:t>
      </w:r>
      <w:r w:rsidR="0032244D" w:rsidRPr="007D5B82">
        <w:rPr>
          <w:rStyle w:val="EndnoteReference"/>
          <w:szCs w:val="20"/>
        </w:rPr>
        <w:endnoteReference w:id="56"/>
      </w:r>
      <w:r w:rsidR="0032244D" w:rsidRPr="007D5B82">
        <w:t xml:space="preserve"> Chrysalis would soon design pneumatic enclosures for children, albeit unexpectedly, through a rather adult-centric audience.</w:t>
      </w:r>
    </w:p>
    <w:p w14:paraId="716AC713" w14:textId="77777777" w:rsidR="0032244D" w:rsidRPr="007D5B82" w:rsidRDefault="0032244D" w:rsidP="006C24FB">
      <w:pPr>
        <w:rPr>
          <w:rFonts w:cs="Times New Roman"/>
        </w:rPr>
      </w:pPr>
    </w:p>
    <w:p w14:paraId="363A2B9F" w14:textId="1B6143C0" w:rsidR="006F4037" w:rsidRPr="007D5B82" w:rsidRDefault="00D51CC6" w:rsidP="006C24FB">
      <w:pPr>
        <w:rPr>
          <w:rFonts w:cs="Times New Roman"/>
        </w:rPr>
      </w:pPr>
      <w:r w:rsidRPr="007D5B82">
        <w:rPr>
          <w:rFonts w:cs="Times New Roman"/>
        </w:rPr>
        <w:t>In 1971, Chrysalis develop</w:t>
      </w:r>
      <w:r w:rsidR="00631880">
        <w:rPr>
          <w:rFonts w:cs="Times New Roman"/>
        </w:rPr>
        <w:t>ed</w:t>
      </w:r>
      <w:r w:rsidRPr="007D5B82">
        <w:rPr>
          <w:rFonts w:cs="Times New Roman"/>
        </w:rPr>
        <w:t xml:space="preserve"> thei</w:t>
      </w:r>
      <w:r w:rsidR="00477FD1" w:rsidRPr="007D5B82">
        <w:rPr>
          <w:rFonts w:cs="Times New Roman"/>
        </w:rPr>
        <w:t>r own pneumatic prototype for “</w:t>
      </w:r>
      <w:r w:rsidRPr="007D5B82">
        <w:rPr>
          <w:rFonts w:cs="Times New Roman"/>
        </w:rPr>
        <w:t xml:space="preserve">a good sized one room enclosure </w:t>
      </w:r>
      <w:r w:rsidRPr="007D5B82">
        <w:t>that was inexpensive, required no expertise to install, and offered additional living space for a fami</w:t>
      </w:r>
      <w:r w:rsidR="00DD2452" w:rsidRPr="007D5B82">
        <w:t>ly (with the land to deploy it)</w:t>
      </w:r>
      <w:r w:rsidRPr="007D5B82">
        <w:t>”</w:t>
      </w:r>
      <w:r w:rsidR="00DD2452" w:rsidRPr="007D5B82">
        <w:rPr>
          <w:b/>
        </w:rPr>
        <w:t xml:space="preserve"> </w:t>
      </w:r>
      <w:r w:rsidR="00DB7FF8" w:rsidRPr="007D5B82">
        <w:rPr>
          <w:b/>
        </w:rPr>
        <w:t xml:space="preserve">(Fig. </w:t>
      </w:r>
      <w:r w:rsidR="00866C4A">
        <w:rPr>
          <w:b/>
        </w:rPr>
        <w:t>15</w:t>
      </w:r>
      <w:r w:rsidR="00DD2452" w:rsidRPr="007D5B82">
        <w:rPr>
          <w:b/>
        </w:rPr>
        <w:t>)</w:t>
      </w:r>
      <w:r w:rsidR="00DD2452" w:rsidRPr="007D5B82">
        <w:t>.</w:t>
      </w:r>
      <w:r w:rsidRPr="007D5B82">
        <w:rPr>
          <w:rStyle w:val="EndnoteReference"/>
          <w:szCs w:val="20"/>
        </w:rPr>
        <w:endnoteReference w:id="57"/>
      </w:r>
      <w:r w:rsidRPr="007D5B82">
        <w:t xml:space="preserve"> </w:t>
      </w:r>
      <w:r w:rsidR="00DF54A7" w:rsidRPr="007D5B82">
        <w:t>Widely covered by the media,</w:t>
      </w:r>
      <w:r w:rsidR="00DD2452" w:rsidRPr="007D5B82">
        <w:rPr>
          <w:rFonts w:cs="Times New Roman"/>
          <w:i/>
        </w:rPr>
        <w:t xml:space="preserve"> </w:t>
      </w:r>
      <w:proofErr w:type="spellStart"/>
      <w:r w:rsidR="00DD2452" w:rsidRPr="007D5B82">
        <w:rPr>
          <w:rFonts w:cs="Times New Roman"/>
          <w:i/>
        </w:rPr>
        <w:t>Pneudome</w:t>
      </w:r>
      <w:proofErr w:type="spellEnd"/>
      <w:r w:rsidR="00DD2452" w:rsidRPr="007D5B82">
        <w:rPr>
          <w:rFonts w:cs="Times New Roman"/>
          <w:i/>
        </w:rPr>
        <w:t xml:space="preserve"> </w:t>
      </w:r>
      <w:r w:rsidR="00DD2452" w:rsidRPr="007D5B82">
        <w:rPr>
          <w:rFonts w:cs="Times New Roman"/>
        </w:rPr>
        <w:t>(1971</w:t>
      </w:r>
      <w:r w:rsidR="00DF54A7" w:rsidRPr="007D5B82">
        <w:rPr>
          <w:rFonts w:cs="Times New Roman"/>
        </w:rPr>
        <w:t xml:space="preserve">) was </w:t>
      </w:r>
      <w:r w:rsidR="00477FD1" w:rsidRPr="007D5B82">
        <w:t>featured in an article entitled “</w:t>
      </w:r>
      <w:r w:rsidR="00DF54A7" w:rsidRPr="007D5B82">
        <w:rPr>
          <w:rFonts w:cs="Times New Roman"/>
        </w:rPr>
        <w:t>The</w:t>
      </w:r>
      <w:r w:rsidR="00477FD1" w:rsidRPr="007D5B82">
        <w:rPr>
          <w:rFonts w:cs="Times New Roman"/>
        </w:rPr>
        <w:t xml:space="preserve"> Bubble House: A Rising Market” </w:t>
      </w:r>
      <w:r w:rsidR="00DF54A7" w:rsidRPr="007D5B82">
        <w:t xml:space="preserve">in the April </w:t>
      </w:r>
      <w:r w:rsidR="00DF54A7" w:rsidRPr="007D5B82">
        <w:rPr>
          <w:rFonts w:cs="Times New Roman"/>
        </w:rPr>
        <w:t xml:space="preserve">1972 issue of </w:t>
      </w:r>
      <w:r w:rsidR="00DF54A7" w:rsidRPr="007D5B82">
        <w:rPr>
          <w:rFonts w:cs="Times New Roman"/>
          <w:i/>
        </w:rPr>
        <w:t>Playboy</w:t>
      </w:r>
      <w:r w:rsidR="00557AF6" w:rsidRPr="007D5B82">
        <w:rPr>
          <w:rFonts w:cs="Times New Roman"/>
        </w:rPr>
        <w:t>.</w:t>
      </w:r>
      <w:r w:rsidR="00DF54A7" w:rsidRPr="007D5B82">
        <w:rPr>
          <w:rStyle w:val="EndnoteReference"/>
          <w:rFonts w:cs="Times New Roman"/>
          <w:szCs w:val="20"/>
        </w:rPr>
        <w:endnoteReference w:id="58"/>
      </w:r>
      <w:r w:rsidR="00DF54A7" w:rsidRPr="007D5B82">
        <w:rPr>
          <w:rFonts w:cs="Times New Roman"/>
        </w:rPr>
        <w:t xml:space="preserve"> </w:t>
      </w:r>
      <w:r w:rsidR="001A0030" w:rsidRPr="007D5B82">
        <w:rPr>
          <w:rFonts w:cs="Times New Roman"/>
        </w:rPr>
        <w:t xml:space="preserve">The </w:t>
      </w:r>
      <w:r w:rsidR="005F00D3" w:rsidRPr="007D5B82">
        <w:rPr>
          <w:rFonts w:cs="Times New Roman"/>
        </w:rPr>
        <w:t>three-page spread presented Chrysalis’s inflatable enclosure</w:t>
      </w:r>
      <w:r w:rsidR="00631880">
        <w:rPr>
          <w:rFonts w:cs="Times New Roman"/>
        </w:rPr>
        <w:t xml:space="preserve"> as </w:t>
      </w:r>
      <w:r w:rsidR="001A0030" w:rsidRPr="007D5B82">
        <w:rPr>
          <w:rFonts w:cs="Times New Roman"/>
        </w:rPr>
        <w:t>situated on a bluff overlooking the Pacific Ocean, an ideal</w:t>
      </w:r>
      <w:r w:rsidR="005F00D3" w:rsidRPr="007D5B82">
        <w:rPr>
          <w:rFonts w:cs="Times New Roman"/>
        </w:rPr>
        <w:t xml:space="preserve"> romantic seaside getaway for two couples</w:t>
      </w:r>
      <w:r w:rsidR="00DF54A7" w:rsidRPr="007D5B82">
        <w:rPr>
          <w:rFonts w:cs="Times New Roman"/>
        </w:rPr>
        <w:t xml:space="preserve"> </w:t>
      </w:r>
      <w:r w:rsidR="00491F55" w:rsidRPr="007D5B82">
        <w:rPr>
          <w:b/>
        </w:rPr>
        <w:t xml:space="preserve">(Fig. </w:t>
      </w:r>
      <w:r w:rsidR="00866C4A">
        <w:rPr>
          <w:b/>
        </w:rPr>
        <w:t>16</w:t>
      </w:r>
      <w:r w:rsidR="00DF54A7" w:rsidRPr="007D5B82">
        <w:rPr>
          <w:b/>
        </w:rPr>
        <w:t>)</w:t>
      </w:r>
      <w:r w:rsidR="005F00D3" w:rsidRPr="007D5B82">
        <w:rPr>
          <w:rFonts w:cs="Times New Roman"/>
        </w:rPr>
        <w:t xml:space="preserve">. </w:t>
      </w:r>
      <w:r w:rsidR="00557AF6" w:rsidRPr="007D5B82">
        <w:rPr>
          <w:rFonts w:cs="Times New Roman"/>
        </w:rPr>
        <w:t>A</w:t>
      </w:r>
      <w:r w:rsidR="00753DEA" w:rsidRPr="007D5B82">
        <w:rPr>
          <w:rFonts w:cs="Times New Roman"/>
        </w:rPr>
        <w:t xml:space="preserve"> lightweight, transportable and economical pneumatic living space</w:t>
      </w:r>
      <w:r w:rsidR="001A0030" w:rsidRPr="007D5B82">
        <w:rPr>
          <w:rFonts w:cs="Times New Roman"/>
        </w:rPr>
        <w:t xml:space="preserve"> </w:t>
      </w:r>
      <w:r w:rsidR="00631880">
        <w:rPr>
          <w:rFonts w:cs="Times New Roman"/>
        </w:rPr>
        <w:t xml:space="preserve">that </w:t>
      </w:r>
      <w:r w:rsidRPr="007D5B82">
        <w:rPr>
          <w:rFonts w:cs="Times New Roman"/>
        </w:rPr>
        <w:t>requir</w:t>
      </w:r>
      <w:r w:rsidR="00631880">
        <w:rPr>
          <w:rFonts w:cs="Times New Roman"/>
        </w:rPr>
        <w:t>ed</w:t>
      </w:r>
      <w:r w:rsidRPr="007D5B82">
        <w:rPr>
          <w:rFonts w:cs="Times New Roman"/>
        </w:rPr>
        <w:t xml:space="preserve"> no expertise to install, </w:t>
      </w:r>
      <w:r w:rsidR="00557AF6" w:rsidRPr="007D5B82">
        <w:rPr>
          <w:rFonts w:cs="Times New Roman"/>
        </w:rPr>
        <w:t xml:space="preserve">the magazine </w:t>
      </w:r>
      <w:r w:rsidR="006F4037" w:rsidRPr="007D5B82">
        <w:rPr>
          <w:rFonts w:cs="Times New Roman"/>
        </w:rPr>
        <w:t xml:space="preserve">pitched the house </w:t>
      </w:r>
      <w:r w:rsidR="00557AF6" w:rsidRPr="007D5B82">
        <w:rPr>
          <w:rFonts w:cs="Times New Roman"/>
        </w:rPr>
        <w:t xml:space="preserve">as </w:t>
      </w:r>
      <w:r w:rsidR="000800B3" w:rsidRPr="007D5B82">
        <w:rPr>
          <w:rFonts w:cs="Times New Roman"/>
        </w:rPr>
        <w:t xml:space="preserve">a </w:t>
      </w:r>
      <w:r w:rsidR="00557AF6" w:rsidRPr="007D5B82">
        <w:rPr>
          <w:rFonts w:cs="Times New Roman"/>
        </w:rPr>
        <w:t>“pumped up pleasure palace</w:t>
      </w:r>
      <w:r w:rsidR="006F4037" w:rsidRPr="007D5B82">
        <w:rPr>
          <w:rFonts w:cs="Times New Roman"/>
        </w:rPr>
        <w:t>,</w:t>
      </w:r>
      <w:r w:rsidR="00557AF6" w:rsidRPr="007D5B82">
        <w:rPr>
          <w:rFonts w:cs="Times New Roman"/>
        </w:rPr>
        <w:t>” and “the most revolutionary concept in mobile living since somebody invented the trailer—and a lot more fun.”</w:t>
      </w:r>
      <w:r w:rsidR="00E70E45" w:rsidRPr="007D5B82">
        <w:rPr>
          <w:rStyle w:val="EndnoteReference"/>
          <w:rFonts w:cs="Times New Roman"/>
          <w:szCs w:val="20"/>
        </w:rPr>
        <w:endnoteReference w:id="59"/>
      </w:r>
      <w:r w:rsidR="00557AF6" w:rsidRPr="007D5B82">
        <w:rPr>
          <w:rFonts w:cs="Times New Roman"/>
        </w:rPr>
        <w:t xml:space="preserve"> A</w:t>
      </w:r>
      <w:r w:rsidR="00524431" w:rsidRPr="007D5B82">
        <w:rPr>
          <w:rFonts w:cs="Times New Roman"/>
        </w:rPr>
        <w:t xml:space="preserve"> 25</w:t>
      </w:r>
      <w:r w:rsidR="00282E45" w:rsidRPr="007D5B82">
        <w:rPr>
          <w:rFonts w:cs="Times New Roman"/>
        </w:rPr>
        <w:t>-</w:t>
      </w:r>
      <w:r w:rsidR="00557AF6" w:rsidRPr="007D5B82">
        <w:rPr>
          <w:rFonts w:cs="Times New Roman"/>
        </w:rPr>
        <w:t>foot</w:t>
      </w:r>
      <w:r w:rsidR="00524431" w:rsidRPr="007D5B82">
        <w:rPr>
          <w:rFonts w:cs="Times New Roman"/>
        </w:rPr>
        <w:t xml:space="preserve"> diameter </w:t>
      </w:r>
      <w:r w:rsidR="005F00D3" w:rsidRPr="007D5B82">
        <w:rPr>
          <w:rFonts w:cs="Times New Roman"/>
        </w:rPr>
        <w:t xml:space="preserve">air-supported </w:t>
      </w:r>
      <w:r w:rsidR="00524431" w:rsidRPr="007D5B82">
        <w:rPr>
          <w:rFonts w:cs="Times New Roman"/>
        </w:rPr>
        <w:t>dome</w:t>
      </w:r>
      <w:r w:rsidR="00557AF6" w:rsidRPr="007D5B82">
        <w:rPr>
          <w:rFonts w:cs="Times New Roman"/>
        </w:rPr>
        <w:t xml:space="preserve"> constructed of fire resistant </w:t>
      </w:r>
      <w:r w:rsidR="00EF5114">
        <w:rPr>
          <w:rFonts w:cs="Times New Roman"/>
        </w:rPr>
        <w:t>PVC,</w:t>
      </w:r>
      <w:r w:rsidR="00557AF6" w:rsidRPr="007D5B82">
        <w:rPr>
          <w:rFonts w:cs="Times New Roman"/>
        </w:rPr>
        <w:t xml:space="preserve"> </w:t>
      </w:r>
      <w:proofErr w:type="spellStart"/>
      <w:r w:rsidR="006F4037" w:rsidRPr="007D5B82">
        <w:rPr>
          <w:rFonts w:cs="Times New Roman"/>
          <w:i/>
        </w:rPr>
        <w:t>Pneudome</w:t>
      </w:r>
      <w:proofErr w:type="spellEnd"/>
      <w:r w:rsidR="006F4037" w:rsidRPr="007D5B82">
        <w:rPr>
          <w:rFonts w:cs="Times New Roman"/>
          <w:i/>
        </w:rPr>
        <w:t xml:space="preserve"> </w:t>
      </w:r>
      <w:r w:rsidR="00557AF6" w:rsidRPr="007D5B82">
        <w:rPr>
          <w:rFonts w:cs="Times New Roman"/>
        </w:rPr>
        <w:t>fea</w:t>
      </w:r>
      <w:r w:rsidR="006F4037" w:rsidRPr="007D5B82">
        <w:rPr>
          <w:rFonts w:cs="Times New Roman"/>
        </w:rPr>
        <w:t>tured transparent wall sections</w:t>
      </w:r>
      <w:r w:rsidR="00557AF6" w:rsidRPr="007D5B82">
        <w:rPr>
          <w:rFonts w:cs="Times New Roman"/>
        </w:rPr>
        <w:t xml:space="preserve"> and an opaque reinforced nylon roof. </w:t>
      </w:r>
      <w:r w:rsidR="00D80CA3" w:rsidRPr="007D5B82">
        <w:rPr>
          <w:rFonts w:cs="Times New Roman"/>
        </w:rPr>
        <w:t xml:space="preserve">Touted as </w:t>
      </w:r>
      <w:r w:rsidR="00282E45" w:rsidRPr="007D5B82">
        <w:rPr>
          <w:rFonts w:cs="Times New Roman"/>
        </w:rPr>
        <w:t>“ventilated and dust-free, too,” it was i</w:t>
      </w:r>
      <w:r w:rsidR="005F00D3" w:rsidRPr="007D5B82">
        <w:rPr>
          <w:rFonts w:cs="Times New Roman"/>
        </w:rPr>
        <w:t>n</w:t>
      </w:r>
      <w:r w:rsidR="00557AF6" w:rsidRPr="007D5B82">
        <w:rPr>
          <w:rFonts w:cs="Times New Roman"/>
        </w:rPr>
        <w:t xml:space="preserve">flated </w:t>
      </w:r>
      <w:r w:rsidR="003D11AF" w:rsidRPr="007D5B82">
        <w:rPr>
          <w:rFonts w:cs="Times New Roman"/>
        </w:rPr>
        <w:t xml:space="preserve">in eight minutes </w:t>
      </w:r>
      <w:r w:rsidR="00557AF6" w:rsidRPr="007D5B82">
        <w:rPr>
          <w:rFonts w:cs="Times New Roman"/>
        </w:rPr>
        <w:t xml:space="preserve">with a portable </w:t>
      </w:r>
      <w:r w:rsidR="00282E45" w:rsidRPr="007D5B82">
        <w:rPr>
          <w:rFonts w:cs="Times New Roman"/>
        </w:rPr>
        <w:t xml:space="preserve">air </w:t>
      </w:r>
      <w:r w:rsidR="00557AF6" w:rsidRPr="007D5B82">
        <w:rPr>
          <w:rFonts w:cs="Times New Roman"/>
        </w:rPr>
        <w:t xml:space="preserve">blower, and stabilized by either a water-filled tube </w:t>
      </w:r>
      <w:r w:rsidR="001A0030" w:rsidRPr="007D5B82">
        <w:rPr>
          <w:rFonts w:cs="Times New Roman"/>
        </w:rPr>
        <w:t xml:space="preserve">along the dome’s perimeter </w:t>
      </w:r>
      <w:r w:rsidR="00282E45" w:rsidRPr="007D5B82">
        <w:rPr>
          <w:rFonts w:cs="Times New Roman"/>
        </w:rPr>
        <w:t xml:space="preserve">or </w:t>
      </w:r>
      <w:r w:rsidR="003D11AF" w:rsidRPr="007D5B82">
        <w:rPr>
          <w:rFonts w:cs="Times New Roman"/>
        </w:rPr>
        <w:t>cable tie-downs</w:t>
      </w:r>
      <w:r w:rsidR="00282E45" w:rsidRPr="007D5B82">
        <w:rPr>
          <w:rFonts w:cs="Times New Roman"/>
        </w:rPr>
        <w:t>.</w:t>
      </w:r>
      <w:r w:rsidR="00DD2452" w:rsidRPr="007D5B82">
        <w:rPr>
          <w:rStyle w:val="EndnoteReference"/>
          <w:rFonts w:cs="Times New Roman"/>
          <w:szCs w:val="20"/>
        </w:rPr>
        <w:endnoteReference w:id="60"/>
      </w:r>
      <w:r w:rsidR="00282E45" w:rsidRPr="007D5B82">
        <w:rPr>
          <w:rFonts w:cs="Times New Roman"/>
        </w:rPr>
        <w:t xml:space="preserve"> </w:t>
      </w:r>
    </w:p>
    <w:p w14:paraId="00CF414E" w14:textId="77777777" w:rsidR="006F4037" w:rsidRPr="007D5B82" w:rsidRDefault="006F4037" w:rsidP="006C24FB">
      <w:pPr>
        <w:rPr>
          <w:rFonts w:cs="Times New Roman"/>
        </w:rPr>
      </w:pPr>
    </w:p>
    <w:p w14:paraId="4538FBEC" w14:textId="0057C7FA" w:rsidR="00282E45" w:rsidRPr="007D5B82" w:rsidRDefault="00D043DC" w:rsidP="00E931F8">
      <w:pPr>
        <w:rPr>
          <w:rFonts w:cs="Times New Roman"/>
        </w:rPr>
      </w:pPr>
      <w:r w:rsidRPr="007D5B82">
        <w:rPr>
          <w:rFonts w:cs="Times New Roman"/>
        </w:rPr>
        <w:t xml:space="preserve">According to </w:t>
      </w:r>
      <w:r w:rsidR="00DD0E1C">
        <w:rPr>
          <w:rFonts w:cs="Times New Roman"/>
        </w:rPr>
        <w:t xml:space="preserve">historian </w:t>
      </w:r>
      <w:r w:rsidRPr="007D5B82">
        <w:rPr>
          <w:rFonts w:cs="Times New Roman"/>
        </w:rPr>
        <w:t>Vanessa Grossman, “</w:t>
      </w:r>
      <w:proofErr w:type="spellStart"/>
      <w:r w:rsidRPr="007D5B82">
        <w:rPr>
          <w:rFonts w:cs="Times New Roman"/>
        </w:rPr>
        <w:t>Pneudome</w:t>
      </w:r>
      <w:proofErr w:type="spellEnd"/>
      <w:r w:rsidRPr="007D5B82">
        <w:rPr>
          <w:rFonts w:cs="Times New Roman"/>
        </w:rPr>
        <w:t xml:space="preserve"> represented the dematerialization of the bachelor pad, which was turned into a moveable package.”</w:t>
      </w:r>
      <w:r w:rsidRPr="007D5B82">
        <w:rPr>
          <w:rStyle w:val="EndnoteReference"/>
          <w:rFonts w:cs="Times New Roman"/>
          <w:szCs w:val="20"/>
        </w:rPr>
        <w:endnoteReference w:id="61"/>
      </w:r>
      <w:r w:rsidRPr="007D5B82">
        <w:rPr>
          <w:rFonts w:cs="Times New Roman"/>
        </w:rPr>
        <w:t xml:space="preserve"> </w:t>
      </w:r>
      <w:r w:rsidR="00CF4278" w:rsidRPr="007D5B82">
        <w:rPr>
          <w:rFonts w:cs="Times New Roman"/>
        </w:rPr>
        <w:t>The “nearly 500 square feet of living space to do with as your imagination dictates” could also be packed down and easily transported in a 42” X 60” X 12” box.</w:t>
      </w:r>
      <w:r w:rsidR="00CF4278" w:rsidRPr="007D5B82">
        <w:rPr>
          <w:rStyle w:val="EndnoteReference"/>
          <w:rFonts w:cs="Times New Roman"/>
          <w:szCs w:val="20"/>
        </w:rPr>
        <w:endnoteReference w:id="62"/>
      </w:r>
      <w:r w:rsidR="00CF4278" w:rsidRPr="007D5B82">
        <w:rPr>
          <w:rFonts w:cs="Times New Roman"/>
        </w:rPr>
        <w:t xml:space="preserve"> </w:t>
      </w:r>
      <w:r w:rsidR="00DD2452" w:rsidRPr="007D5B82">
        <w:rPr>
          <w:rFonts w:cs="Times New Roman"/>
        </w:rPr>
        <w:t>The first photo in the article shows</w:t>
      </w:r>
      <w:r w:rsidR="000800B3" w:rsidRPr="007D5B82">
        <w:rPr>
          <w:rFonts w:cs="Times New Roman"/>
        </w:rPr>
        <w:t xml:space="preserve"> two women and two men carrying a large box in which the inflatable is packed, demonstrating </w:t>
      </w:r>
      <w:proofErr w:type="spellStart"/>
      <w:r w:rsidR="00F804D6">
        <w:rPr>
          <w:rFonts w:cs="Times New Roman"/>
        </w:rPr>
        <w:t>Pneudome’s</w:t>
      </w:r>
      <w:proofErr w:type="spellEnd"/>
      <w:r w:rsidR="00F804D6" w:rsidRPr="007D5B82">
        <w:rPr>
          <w:rFonts w:cs="Times New Roman"/>
        </w:rPr>
        <w:t xml:space="preserve"> </w:t>
      </w:r>
      <w:r w:rsidR="008404BB" w:rsidRPr="007D5B82">
        <w:rPr>
          <w:rFonts w:cs="Times New Roman"/>
        </w:rPr>
        <w:t>lightweight and mobile</w:t>
      </w:r>
      <w:r w:rsidR="00F804D6">
        <w:rPr>
          <w:rFonts w:cs="Times New Roman"/>
        </w:rPr>
        <w:t xml:space="preserve"> features</w:t>
      </w:r>
      <w:r w:rsidR="008404BB" w:rsidRPr="007D5B82">
        <w:rPr>
          <w:rFonts w:cs="Times New Roman"/>
        </w:rPr>
        <w:t xml:space="preserve">. </w:t>
      </w:r>
      <w:r w:rsidR="00F804D6">
        <w:rPr>
          <w:rFonts w:cs="Times New Roman"/>
        </w:rPr>
        <w:t>A</w:t>
      </w:r>
      <w:r w:rsidR="008404BB" w:rsidRPr="007D5B82">
        <w:rPr>
          <w:rFonts w:cs="Times New Roman"/>
        </w:rPr>
        <w:t xml:space="preserve">ccording to Valerio, the box </w:t>
      </w:r>
      <w:r w:rsidR="006F4037" w:rsidRPr="007D5B82">
        <w:rPr>
          <w:rFonts w:cs="Times New Roman"/>
        </w:rPr>
        <w:t xml:space="preserve">was </w:t>
      </w:r>
      <w:r w:rsidR="008404BB" w:rsidRPr="007D5B82">
        <w:rPr>
          <w:rFonts w:cs="Times New Roman"/>
        </w:rPr>
        <w:t>empty for the shoot</w:t>
      </w:r>
      <w:r w:rsidR="00CF4278" w:rsidRPr="007D5B82">
        <w:rPr>
          <w:rFonts w:cs="Times New Roman"/>
        </w:rPr>
        <w:t xml:space="preserve">, as </w:t>
      </w:r>
      <w:r w:rsidR="008404BB" w:rsidRPr="007D5B82">
        <w:rPr>
          <w:rFonts w:cs="Times New Roman"/>
        </w:rPr>
        <w:t>“</w:t>
      </w:r>
      <w:r w:rsidR="00CF4278" w:rsidRPr="007D5B82">
        <w:rPr>
          <w:rFonts w:cs="Times New Roman"/>
        </w:rPr>
        <w:t>i</w:t>
      </w:r>
      <w:r w:rsidR="00C83CD2" w:rsidRPr="007D5B82">
        <w:rPr>
          <w:rFonts w:cs="Times New Roman"/>
        </w:rPr>
        <w:t>t</w:t>
      </w:r>
      <w:r w:rsidR="008404BB" w:rsidRPr="007D5B82">
        <w:rPr>
          <w:rFonts w:cs="Times New Roman"/>
        </w:rPr>
        <w:t xml:space="preserve"> was actually pretty heavy, and not easily moved by four adults.”</w:t>
      </w:r>
      <w:r w:rsidR="006F4037" w:rsidRPr="007D5B82">
        <w:rPr>
          <w:rStyle w:val="EndnoteReference"/>
          <w:rFonts w:cs="Times New Roman"/>
        </w:rPr>
        <w:endnoteReference w:id="63"/>
      </w:r>
      <w:r w:rsidR="008404BB" w:rsidRPr="007D5B82">
        <w:rPr>
          <w:rFonts w:cs="Times New Roman"/>
        </w:rPr>
        <w:t xml:space="preserve"> In another </w:t>
      </w:r>
      <w:r w:rsidR="008404BB" w:rsidRPr="007D5B82">
        <w:rPr>
          <w:rFonts w:cs="Times New Roman"/>
        </w:rPr>
        <w:lastRenderedPageBreak/>
        <w:t xml:space="preserve">image, two models are shown filling up the </w:t>
      </w:r>
      <w:r w:rsidR="005050A5">
        <w:rPr>
          <w:rFonts w:cs="Times New Roman"/>
        </w:rPr>
        <w:t>400-gallon</w:t>
      </w:r>
      <w:r w:rsidR="005050A5" w:rsidRPr="007D5B82">
        <w:rPr>
          <w:rFonts w:cs="Times New Roman"/>
        </w:rPr>
        <w:t xml:space="preserve"> </w:t>
      </w:r>
      <w:r w:rsidR="008404BB" w:rsidRPr="007D5B82">
        <w:rPr>
          <w:rFonts w:cs="Times New Roman"/>
        </w:rPr>
        <w:t>tubular base of the pneumatic dome with a garden hose</w:t>
      </w:r>
      <w:r w:rsidR="007A6A74">
        <w:rPr>
          <w:rFonts w:cs="Times New Roman"/>
        </w:rPr>
        <w:t>;</w:t>
      </w:r>
      <w:r w:rsidR="008404BB" w:rsidRPr="007D5B82">
        <w:rPr>
          <w:rFonts w:cs="Times New Roman"/>
        </w:rPr>
        <w:t xml:space="preserve"> the </w:t>
      </w:r>
      <w:r w:rsidR="00E931F8" w:rsidRPr="007D5B82">
        <w:rPr>
          <w:rFonts w:cs="Times New Roman"/>
        </w:rPr>
        <w:t>water</w:t>
      </w:r>
      <w:r w:rsidR="008404BB" w:rsidRPr="007D5B82">
        <w:rPr>
          <w:rFonts w:cs="Times New Roman"/>
        </w:rPr>
        <w:t xml:space="preserve">, </w:t>
      </w:r>
      <w:r w:rsidR="007A6A74">
        <w:rPr>
          <w:rFonts w:cs="Times New Roman"/>
        </w:rPr>
        <w:t>along with</w:t>
      </w:r>
      <w:r w:rsidR="008404BB" w:rsidRPr="007D5B82">
        <w:rPr>
          <w:rFonts w:cs="Times New Roman"/>
        </w:rPr>
        <w:t xml:space="preserve"> </w:t>
      </w:r>
      <w:r w:rsidR="007A6A74">
        <w:rPr>
          <w:rFonts w:cs="Times New Roman"/>
        </w:rPr>
        <w:t xml:space="preserve">the electrical </w:t>
      </w:r>
      <w:r w:rsidR="008404BB" w:rsidRPr="007D5B82">
        <w:rPr>
          <w:rFonts w:cs="Times New Roman"/>
        </w:rPr>
        <w:t xml:space="preserve">outlet for </w:t>
      </w:r>
      <w:r w:rsidR="007A6A74">
        <w:rPr>
          <w:rFonts w:cs="Times New Roman"/>
        </w:rPr>
        <w:t xml:space="preserve">an </w:t>
      </w:r>
      <w:r w:rsidR="008404BB" w:rsidRPr="007D5B82">
        <w:rPr>
          <w:rFonts w:cs="Times New Roman"/>
        </w:rPr>
        <w:t xml:space="preserve">air </w:t>
      </w:r>
      <w:r w:rsidR="00DD2452" w:rsidRPr="007D5B82">
        <w:rPr>
          <w:rFonts w:cs="Times New Roman"/>
        </w:rPr>
        <w:t>blower</w:t>
      </w:r>
      <w:r w:rsidR="008404BB" w:rsidRPr="007D5B82">
        <w:rPr>
          <w:rFonts w:cs="Times New Roman"/>
        </w:rPr>
        <w:t xml:space="preserve">, were </w:t>
      </w:r>
      <w:r w:rsidR="006F4037" w:rsidRPr="007D5B82">
        <w:rPr>
          <w:rFonts w:cs="Times New Roman"/>
        </w:rPr>
        <w:t>magically</w:t>
      </w:r>
      <w:r w:rsidR="008404BB" w:rsidRPr="007D5B82">
        <w:rPr>
          <w:rFonts w:cs="Times New Roman"/>
        </w:rPr>
        <w:t xml:space="preserve"> supplied at this remote seaside location</w:t>
      </w:r>
      <w:r w:rsidR="000800B3" w:rsidRPr="007D5B82">
        <w:rPr>
          <w:rFonts w:cs="Times New Roman"/>
        </w:rPr>
        <w:t xml:space="preserve">. </w:t>
      </w:r>
      <w:r w:rsidR="00CF4278" w:rsidRPr="007D5B82">
        <w:rPr>
          <w:rFonts w:cs="Times New Roman"/>
        </w:rPr>
        <w:t>Available for purchase for $1950, readers were prompted to write to the magazine for more information.</w:t>
      </w:r>
      <w:r w:rsidR="00CF4278" w:rsidRPr="007D5B82">
        <w:rPr>
          <w:rStyle w:val="EndnoteReference"/>
          <w:rFonts w:cs="Times New Roman"/>
          <w:szCs w:val="20"/>
        </w:rPr>
        <w:endnoteReference w:id="64"/>
      </w:r>
      <w:r w:rsidR="00CF4278" w:rsidRPr="007D5B82">
        <w:rPr>
          <w:rFonts w:cs="Times New Roman"/>
        </w:rPr>
        <w:t xml:space="preserve"> </w:t>
      </w:r>
      <w:r w:rsidR="00427736">
        <w:rPr>
          <w:rFonts w:cs="Times New Roman"/>
        </w:rPr>
        <w:t>For</w:t>
      </w:r>
      <w:r w:rsidR="00EB2515" w:rsidRPr="007D5B82">
        <w:rPr>
          <w:rFonts w:cs="Times New Roman"/>
        </w:rPr>
        <w:t xml:space="preserve"> </w:t>
      </w:r>
      <w:r w:rsidR="00EB2515" w:rsidRPr="007D5B82">
        <w:rPr>
          <w:rFonts w:cs="Times New Roman"/>
          <w:i/>
        </w:rPr>
        <w:t>Playboy</w:t>
      </w:r>
      <w:r w:rsidR="00427736">
        <w:rPr>
          <w:rFonts w:cs="Times New Roman"/>
        </w:rPr>
        <w:t>,</w:t>
      </w:r>
      <w:r w:rsidR="00EB2515" w:rsidRPr="007D5B82">
        <w:rPr>
          <w:rFonts w:cs="Times New Roman"/>
          <w:i/>
        </w:rPr>
        <w:t xml:space="preserve"> </w:t>
      </w:r>
      <w:r w:rsidR="008404BB" w:rsidRPr="007D5B82">
        <w:rPr>
          <w:rFonts w:cs="Times New Roman"/>
        </w:rPr>
        <w:t>the</w:t>
      </w:r>
      <w:r w:rsidR="00524431" w:rsidRPr="007D5B82">
        <w:rPr>
          <w:rFonts w:cs="Times New Roman"/>
        </w:rPr>
        <w:t xml:space="preserve"> concept was to be able to create an impromptu </w:t>
      </w:r>
      <w:r w:rsidR="00E931F8" w:rsidRPr="007D5B82">
        <w:rPr>
          <w:rFonts w:cs="Times New Roman"/>
        </w:rPr>
        <w:t>dwelling</w:t>
      </w:r>
      <w:r w:rsidR="00524431" w:rsidRPr="007D5B82">
        <w:rPr>
          <w:rFonts w:cs="Times New Roman"/>
        </w:rPr>
        <w:t xml:space="preserve"> in a</w:t>
      </w:r>
      <w:r w:rsidR="008404BB" w:rsidRPr="007D5B82">
        <w:rPr>
          <w:rFonts w:cs="Times New Roman"/>
        </w:rPr>
        <w:t>n</w:t>
      </w:r>
      <w:r w:rsidR="00524431" w:rsidRPr="007D5B82">
        <w:rPr>
          <w:rFonts w:cs="Times New Roman"/>
        </w:rPr>
        <w:t xml:space="preserve"> </w:t>
      </w:r>
      <w:r w:rsidR="008404BB" w:rsidRPr="007D5B82">
        <w:rPr>
          <w:rFonts w:cs="Times New Roman"/>
        </w:rPr>
        <w:t>isolated setting—a picnic cum beach house—</w:t>
      </w:r>
      <w:r w:rsidR="00427736">
        <w:rPr>
          <w:rFonts w:cs="Times New Roman"/>
        </w:rPr>
        <w:t xml:space="preserve">yet </w:t>
      </w:r>
      <w:r w:rsidR="00282E45" w:rsidRPr="007D5B82">
        <w:rPr>
          <w:rFonts w:cs="Times New Roman"/>
        </w:rPr>
        <w:t xml:space="preserve">the magazine failed to find a </w:t>
      </w:r>
      <w:r w:rsidR="00D51CC6" w:rsidRPr="007D5B82">
        <w:rPr>
          <w:rFonts w:cs="Times New Roman"/>
        </w:rPr>
        <w:t xml:space="preserve">likely </w:t>
      </w:r>
      <w:r w:rsidR="00282E45" w:rsidRPr="007D5B82">
        <w:rPr>
          <w:rFonts w:cs="Times New Roman"/>
        </w:rPr>
        <w:t xml:space="preserve">consumer market in its wide-ranging readership. </w:t>
      </w:r>
      <w:r w:rsidR="00DD2452" w:rsidRPr="007D5B82">
        <w:rPr>
          <w:rFonts w:cs="Times New Roman"/>
        </w:rPr>
        <w:t xml:space="preserve">Some seven years after Banham and </w:t>
      </w:r>
      <w:proofErr w:type="spellStart"/>
      <w:r w:rsidR="00DD2452" w:rsidRPr="007D5B82">
        <w:rPr>
          <w:rFonts w:cs="Times New Roman"/>
        </w:rPr>
        <w:t>Dallegret’s</w:t>
      </w:r>
      <w:proofErr w:type="spellEnd"/>
      <w:r w:rsidR="00DD2452" w:rsidRPr="007D5B82">
        <w:rPr>
          <w:rFonts w:cs="Times New Roman"/>
        </w:rPr>
        <w:t xml:space="preserve"> </w:t>
      </w:r>
      <w:r w:rsidR="00E931F8" w:rsidRPr="007D5B82">
        <w:rPr>
          <w:rFonts w:cs="Times New Roman"/>
          <w:i/>
        </w:rPr>
        <w:t>Environment-</w:t>
      </w:r>
      <w:r w:rsidR="00DD2452" w:rsidRPr="007D5B82">
        <w:rPr>
          <w:rFonts w:cs="Times New Roman"/>
          <w:i/>
        </w:rPr>
        <w:t xml:space="preserve">Bubble </w:t>
      </w:r>
      <w:r w:rsidR="00DD2452" w:rsidRPr="007D5B82">
        <w:rPr>
          <w:rFonts w:cs="Times New Roman"/>
        </w:rPr>
        <w:t xml:space="preserve">(1965), Chrysalis had made the mobile pneumatic bachelor pad a reality. </w:t>
      </w:r>
      <w:r w:rsidR="00933103">
        <w:rPr>
          <w:rFonts w:cs="Times New Roman"/>
        </w:rPr>
        <w:t>M</w:t>
      </w:r>
      <w:r w:rsidR="00DD2452" w:rsidRPr="007D5B82">
        <w:rPr>
          <w:rFonts w:cs="Times New Roman"/>
        </w:rPr>
        <w:t xml:space="preserve">uch to their surprise, </w:t>
      </w:r>
      <w:proofErr w:type="spellStart"/>
      <w:r w:rsidR="00D51CC6" w:rsidRPr="007D5B82">
        <w:rPr>
          <w:rFonts w:cs="Times New Roman"/>
          <w:i/>
        </w:rPr>
        <w:t>Pneudome</w:t>
      </w:r>
      <w:proofErr w:type="spellEnd"/>
      <w:r w:rsidR="00D51CC6" w:rsidRPr="007D5B82">
        <w:rPr>
          <w:rFonts w:cs="Times New Roman"/>
          <w:i/>
        </w:rPr>
        <w:t xml:space="preserve"> </w:t>
      </w:r>
      <w:r w:rsidR="00D51CC6" w:rsidRPr="007D5B82">
        <w:rPr>
          <w:rFonts w:cs="Times New Roman"/>
        </w:rPr>
        <w:t>found its actual home as a classroom for children</w:t>
      </w:r>
      <w:r w:rsidR="00FC4623">
        <w:rPr>
          <w:rFonts w:cs="Times New Roman"/>
        </w:rPr>
        <w:t xml:space="preserve"> </w:t>
      </w:r>
      <w:r w:rsidR="00FC4623" w:rsidRPr="007D5B82">
        <w:rPr>
          <w:b/>
        </w:rPr>
        <w:t xml:space="preserve">(Fig. </w:t>
      </w:r>
      <w:r w:rsidR="00866C4A">
        <w:rPr>
          <w:b/>
        </w:rPr>
        <w:t>17</w:t>
      </w:r>
      <w:r w:rsidR="00FC4623" w:rsidRPr="007D5B82">
        <w:rPr>
          <w:b/>
        </w:rPr>
        <w:t>)</w:t>
      </w:r>
      <w:r w:rsidR="00CF4278" w:rsidRPr="007D5B82">
        <w:rPr>
          <w:rFonts w:cs="Times New Roman"/>
        </w:rPr>
        <w:t xml:space="preserve">. In 1972, </w:t>
      </w:r>
      <w:r w:rsidR="00282E45" w:rsidRPr="007D5B82">
        <w:rPr>
          <w:rFonts w:cs="Times New Roman"/>
        </w:rPr>
        <w:t>the Denver School District purchased five for a new school they were building</w:t>
      </w:r>
      <w:r w:rsidR="00D51CC6" w:rsidRPr="007D5B82">
        <w:rPr>
          <w:rFonts w:cs="Times New Roman"/>
        </w:rPr>
        <w:t>.</w:t>
      </w:r>
    </w:p>
    <w:p w14:paraId="4CD9DFD7" w14:textId="77777777" w:rsidR="00E931F8" w:rsidRDefault="00E931F8" w:rsidP="00E931F8">
      <w:pPr>
        <w:rPr>
          <w:rFonts w:cs="Times New Roman"/>
        </w:rPr>
      </w:pPr>
    </w:p>
    <w:p w14:paraId="2C78ED73" w14:textId="77777777" w:rsidR="006F4037" w:rsidRPr="007D5B82" w:rsidRDefault="006F4037" w:rsidP="00E931F8">
      <w:pPr>
        <w:rPr>
          <w:rFonts w:cs="Times New Roman"/>
          <w:b/>
        </w:rPr>
      </w:pPr>
    </w:p>
    <w:p w14:paraId="201D5ED4" w14:textId="77777777" w:rsidR="00E01D04" w:rsidRPr="007D5B82" w:rsidRDefault="00E01D04" w:rsidP="007E1C7B">
      <w:pPr>
        <w:outlineLvl w:val="0"/>
        <w:rPr>
          <w:rFonts w:cs="Times New Roman"/>
          <w:b/>
        </w:rPr>
      </w:pPr>
      <w:r w:rsidRPr="007D5B82">
        <w:rPr>
          <w:rFonts w:cs="Times New Roman"/>
          <w:b/>
        </w:rPr>
        <w:t>C.O.W.</w:t>
      </w:r>
    </w:p>
    <w:p w14:paraId="1B2D3DB7" w14:textId="77777777" w:rsidR="00E01D04" w:rsidRPr="007D5B82" w:rsidRDefault="00E01D04" w:rsidP="00E931F8">
      <w:pPr>
        <w:rPr>
          <w:rFonts w:cs="Times New Roman"/>
        </w:rPr>
      </w:pPr>
    </w:p>
    <w:p w14:paraId="5CD56464" w14:textId="364843F5" w:rsidR="00AD7F2C" w:rsidRPr="007D5B82" w:rsidRDefault="00D043DC" w:rsidP="00E931F8">
      <w:pPr>
        <w:rPr>
          <w:rFonts w:cs="Times New Roman"/>
        </w:rPr>
      </w:pPr>
      <w:r w:rsidRPr="007D5B82">
        <w:rPr>
          <w:rFonts w:cs="Times New Roman"/>
        </w:rPr>
        <w:t>Although Chrysalis had been breaking new ground in the design, fabrication</w:t>
      </w:r>
      <w:r w:rsidR="005B0AA2">
        <w:rPr>
          <w:rFonts w:cs="Times New Roman"/>
        </w:rPr>
        <w:t>,</w:t>
      </w:r>
      <w:r w:rsidRPr="007D5B82">
        <w:rPr>
          <w:rFonts w:cs="Times New Roman"/>
        </w:rPr>
        <w:t xml:space="preserve"> and marketing of pneumatic architecture, </w:t>
      </w:r>
      <w:r w:rsidR="0085575C">
        <w:rPr>
          <w:rFonts w:cs="Times New Roman"/>
        </w:rPr>
        <w:t>in addition to being</w:t>
      </w:r>
      <w:r w:rsidR="001C16B5" w:rsidRPr="007D5B82">
        <w:rPr>
          <w:rFonts w:cs="Times New Roman"/>
        </w:rPr>
        <w:t xml:space="preserve"> featured in </w:t>
      </w:r>
      <w:r w:rsidR="005B0AA2">
        <w:rPr>
          <w:rFonts w:cs="Times New Roman"/>
        </w:rPr>
        <w:t xml:space="preserve">the </w:t>
      </w:r>
      <w:r w:rsidR="001C16B5" w:rsidRPr="007D5B82">
        <w:rPr>
          <w:rFonts w:cs="Times New Roman"/>
        </w:rPr>
        <w:t xml:space="preserve">August 1972 issue of </w:t>
      </w:r>
      <w:r w:rsidR="00AD7F2C" w:rsidRPr="007D5B82">
        <w:rPr>
          <w:rFonts w:cs="Times New Roman"/>
          <w:i/>
        </w:rPr>
        <w:t>Progressive Architecture</w:t>
      </w:r>
      <w:r w:rsidR="001C16B5" w:rsidRPr="007D5B82">
        <w:rPr>
          <w:rFonts w:cs="Times New Roman"/>
          <w:i/>
        </w:rPr>
        <w:t>,</w:t>
      </w:r>
      <w:r w:rsidR="001C16B5" w:rsidRPr="007D5B82">
        <w:rPr>
          <w:rFonts w:cs="Times New Roman"/>
        </w:rPr>
        <w:t xml:space="preserve"> </w:t>
      </w:r>
      <w:r w:rsidR="00F14150" w:rsidRPr="007D5B82">
        <w:rPr>
          <w:rFonts w:cs="Times New Roman"/>
        </w:rPr>
        <w:t xml:space="preserve">the group was quickly </w:t>
      </w:r>
      <w:r w:rsidR="0085575C">
        <w:rPr>
          <w:rFonts w:cs="Times New Roman"/>
        </w:rPr>
        <w:t>scattering</w:t>
      </w:r>
      <w:r w:rsidR="0085575C" w:rsidRPr="007D5B82">
        <w:rPr>
          <w:rFonts w:cs="Times New Roman"/>
        </w:rPr>
        <w:t xml:space="preserve"> </w:t>
      </w:r>
      <w:r w:rsidR="001C16B5" w:rsidRPr="007D5B82">
        <w:rPr>
          <w:rFonts w:cs="Times New Roman"/>
        </w:rPr>
        <w:t xml:space="preserve">geographically </w:t>
      </w:r>
      <w:r w:rsidR="00DB1B28" w:rsidRPr="007D5B82">
        <w:rPr>
          <w:rFonts w:cs="Times New Roman"/>
        </w:rPr>
        <w:t>in</w:t>
      </w:r>
      <w:r w:rsidR="00F14150" w:rsidRPr="007D5B82">
        <w:rPr>
          <w:rFonts w:cs="Times New Roman"/>
        </w:rPr>
        <w:t xml:space="preserve"> pursuit of</w:t>
      </w:r>
      <w:r w:rsidRPr="007D5B82">
        <w:rPr>
          <w:rFonts w:cs="Times New Roman"/>
        </w:rPr>
        <w:t xml:space="preserve"> other professional opportunities.</w:t>
      </w:r>
      <w:r w:rsidR="00AD7F2C" w:rsidRPr="007D5B82">
        <w:rPr>
          <w:rStyle w:val="EndnoteReference"/>
          <w:rFonts w:cs="Times New Roman"/>
          <w:szCs w:val="20"/>
        </w:rPr>
        <w:endnoteReference w:id="65"/>
      </w:r>
      <w:r w:rsidRPr="007D5B82">
        <w:rPr>
          <w:rFonts w:cs="Times New Roman"/>
        </w:rPr>
        <w:t xml:space="preserve"> </w:t>
      </w:r>
      <w:r w:rsidR="00DB1B28" w:rsidRPr="007D5B82">
        <w:rPr>
          <w:rFonts w:cs="Times New Roman"/>
        </w:rPr>
        <w:t>In 1972, i</w:t>
      </w:r>
      <w:r w:rsidRPr="007D5B82">
        <w:rPr>
          <w:rFonts w:cs="Times New Roman"/>
        </w:rPr>
        <w:t>ts British members—</w:t>
      </w:r>
      <w:r w:rsidR="0066371D">
        <w:rPr>
          <w:rFonts w:cs="Times New Roman"/>
        </w:rPr>
        <w:t>Davies, Dawson and Stanton</w:t>
      </w:r>
      <w:r w:rsidRPr="007D5B82">
        <w:rPr>
          <w:rFonts w:cs="Times New Roman"/>
        </w:rPr>
        <w:t>—moved back to Europe to work on Renzo Piano and Richard Rogers’ newly awarded Pompidou Center project.</w:t>
      </w:r>
      <w:r w:rsidR="00340BEC" w:rsidRPr="007D5B82">
        <w:rPr>
          <w:rStyle w:val="EndnoteReference"/>
          <w:rFonts w:cs="Times New Roman"/>
          <w:szCs w:val="20"/>
        </w:rPr>
        <w:endnoteReference w:id="66"/>
      </w:r>
      <w:r w:rsidRPr="007D5B82">
        <w:rPr>
          <w:rFonts w:cs="Times New Roman"/>
        </w:rPr>
        <w:t xml:space="preserve"> </w:t>
      </w:r>
      <w:r w:rsidR="00BB6D4B">
        <w:rPr>
          <w:rFonts w:cs="Times New Roman"/>
        </w:rPr>
        <w:t>In t</w:t>
      </w:r>
      <w:r w:rsidR="00DB1B28" w:rsidRPr="007D5B82">
        <w:rPr>
          <w:rFonts w:cs="Times New Roman"/>
        </w:rPr>
        <w:t xml:space="preserve">he previous year, Valerio temporarily relocated from Los Angeles to Washington D.C. </w:t>
      </w:r>
      <w:r w:rsidR="004703CA" w:rsidRPr="007D5B82">
        <w:rPr>
          <w:rFonts w:cs="Times New Roman"/>
        </w:rPr>
        <w:t xml:space="preserve">(1971-73) </w:t>
      </w:r>
      <w:r w:rsidR="005F1D71" w:rsidRPr="007D5B82">
        <w:rPr>
          <w:rFonts w:cs="Times New Roman"/>
        </w:rPr>
        <w:t>to design pneumatics for an</w:t>
      </w:r>
      <w:r w:rsidR="00DB1B28" w:rsidRPr="007D5B82">
        <w:rPr>
          <w:rFonts w:cs="Times New Roman"/>
        </w:rPr>
        <w:t xml:space="preserve"> exhibition at The Smithsonian</w:t>
      </w:r>
      <w:r w:rsidR="0066371D">
        <w:rPr>
          <w:rFonts w:cs="Times New Roman"/>
        </w:rPr>
        <w:t>.</w:t>
      </w:r>
      <w:r w:rsidR="00067523" w:rsidRPr="007D5B82">
        <w:rPr>
          <w:rStyle w:val="EndnoteReference"/>
          <w:rFonts w:cs="Times New Roman"/>
          <w:szCs w:val="20"/>
        </w:rPr>
        <w:endnoteReference w:id="67"/>
      </w:r>
      <w:r w:rsidR="00DB1B28" w:rsidRPr="007D5B82">
        <w:rPr>
          <w:rFonts w:cs="Times New Roman"/>
        </w:rPr>
        <w:t xml:space="preserve"> After completing this project, for which he received independent study credit, Valerio graduated from UCLA</w:t>
      </w:r>
      <w:r w:rsidR="00F14150" w:rsidRPr="007D5B82">
        <w:rPr>
          <w:rFonts w:cs="Times New Roman"/>
        </w:rPr>
        <w:t xml:space="preserve"> and </w:t>
      </w:r>
      <w:r w:rsidRPr="007D5B82">
        <w:rPr>
          <w:rFonts w:cs="Times New Roman"/>
        </w:rPr>
        <w:t>accept</w:t>
      </w:r>
      <w:r w:rsidR="00F14150" w:rsidRPr="007D5B82">
        <w:rPr>
          <w:rFonts w:cs="Times New Roman"/>
        </w:rPr>
        <w:t>ed</w:t>
      </w:r>
      <w:r w:rsidRPr="007D5B82">
        <w:rPr>
          <w:rFonts w:cs="Times New Roman"/>
        </w:rPr>
        <w:t xml:space="preserve"> a teaching position</w:t>
      </w:r>
      <w:r w:rsidR="00F14150" w:rsidRPr="007D5B82">
        <w:rPr>
          <w:rFonts w:cs="Times New Roman"/>
        </w:rPr>
        <w:t xml:space="preserve"> in the School of Architecture and Urban Planning at The University of Wisconsin-Milwaukee (UWM).</w:t>
      </w:r>
      <w:r w:rsidR="001C16B5" w:rsidRPr="007D5B82">
        <w:rPr>
          <w:rStyle w:val="EndnoteReference"/>
          <w:rFonts w:cs="Times New Roman"/>
          <w:szCs w:val="20"/>
        </w:rPr>
        <w:endnoteReference w:id="68"/>
      </w:r>
      <w:r w:rsidR="00F14150" w:rsidRPr="007D5B82">
        <w:rPr>
          <w:rFonts w:cs="Times New Roman"/>
        </w:rPr>
        <w:t xml:space="preserve"> Soon after arriving </w:t>
      </w:r>
      <w:r w:rsidR="00067523" w:rsidRPr="007D5B82">
        <w:rPr>
          <w:rFonts w:cs="Times New Roman"/>
        </w:rPr>
        <w:t>in Milwaukee</w:t>
      </w:r>
      <w:r w:rsidR="00FB209D" w:rsidRPr="007D5B82">
        <w:rPr>
          <w:rFonts w:cs="Times New Roman"/>
        </w:rPr>
        <w:t xml:space="preserve">, Valerio </w:t>
      </w:r>
      <w:r w:rsidR="00646E30" w:rsidRPr="007D5B82">
        <w:rPr>
          <w:rFonts w:cs="Times New Roman"/>
        </w:rPr>
        <w:t xml:space="preserve">formed </w:t>
      </w:r>
      <w:r w:rsidR="00067523" w:rsidRPr="007D5B82">
        <w:rPr>
          <w:rFonts w:cs="Times New Roman"/>
        </w:rPr>
        <w:t>C.O.W. (Chrysalis of Wisconsin</w:t>
      </w:r>
      <w:r w:rsidR="00132C95" w:rsidRPr="007D5B82">
        <w:rPr>
          <w:rFonts w:cs="Times New Roman"/>
        </w:rPr>
        <w:t xml:space="preserve">) </w:t>
      </w:r>
      <w:r w:rsidR="00067523" w:rsidRPr="007D5B82">
        <w:rPr>
          <w:rFonts w:cs="Times New Roman"/>
        </w:rPr>
        <w:t xml:space="preserve">and </w:t>
      </w:r>
      <w:r w:rsidR="00AD7F2C" w:rsidRPr="007D5B82">
        <w:rPr>
          <w:rFonts w:cs="Times New Roman"/>
        </w:rPr>
        <w:t>received a phone call from the Carnegie Institute asking if he could design a demountable theatre and performance structure for The Three Rivers Arts Festival in Pittsburg, Pennsylvania.</w:t>
      </w:r>
      <w:r w:rsidR="00DF7A33" w:rsidRPr="007D5B82">
        <w:rPr>
          <w:rStyle w:val="EndnoteReference"/>
          <w:rFonts w:cs="Times New Roman"/>
          <w:szCs w:val="20"/>
        </w:rPr>
        <w:endnoteReference w:id="69"/>
      </w:r>
    </w:p>
    <w:p w14:paraId="07A415AD" w14:textId="77777777" w:rsidR="00132C95" w:rsidRPr="007D5B82" w:rsidRDefault="00132C95" w:rsidP="00E931F8">
      <w:pPr>
        <w:rPr>
          <w:rFonts w:cs="Times New Roman"/>
        </w:rPr>
      </w:pPr>
    </w:p>
    <w:p w14:paraId="65AE0CDC" w14:textId="67840975" w:rsidR="00FC4623" w:rsidRPr="00733014" w:rsidRDefault="00646E30" w:rsidP="00E931F8">
      <w:pPr>
        <w:rPr>
          <w:rFonts w:cs="Times New Roman"/>
          <w:color w:val="3366FF"/>
        </w:rPr>
      </w:pPr>
      <w:r w:rsidRPr="00A826E1">
        <w:rPr>
          <w:rFonts w:cs="Times New Roman"/>
        </w:rPr>
        <w:t xml:space="preserve">Designed by C.O.W. members </w:t>
      </w:r>
      <w:r w:rsidR="00163D4B" w:rsidRPr="00A826E1">
        <w:rPr>
          <w:rFonts w:cs="Times New Roman"/>
        </w:rPr>
        <w:t xml:space="preserve">Valerio and Kent </w:t>
      </w:r>
      <w:r w:rsidR="00DE2F72" w:rsidRPr="00A826E1">
        <w:rPr>
          <w:rFonts w:cs="Times New Roman"/>
        </w:rPr>
        <w:t>Hubb</w:t>
      </w:r>
      <w:r w:rsidR="00DE429D" w:rsidRPr="00A826E1">
        <w:rPr>
          <w:rFonts w:cs="Times New Roman"/>
        </w:rPr>
        <w:t xml:space="preserve">ell, </w:t>
      </w:r>
      <w:r w:rsidRPr="00A826E1">
        <w:rPr>
          <w:rFonts w:cs="Times New Roman"/>
          <w:i/>
        </w:rPr>
        <w:t xml:space="preserve">Three Rivers </w:t>
      </w:r>
      <w:r w:rsidR="00C51EF9" w:rsidRPr="00A826E1">
        <w:rPr>
          <w:rFonts w:cs="Times New Roman"/>
        </w:rPr>
        <w:t>(1973-75</w:t>
      </w:r>
      <w:r w:rsidR="00AD374C" w:rsidRPr="00A826E1">
        <w:rPr>
          <w:rFonts w:cs="Times New Roman"/>
        </w:rPr>
        <w:t>)</w:t>
      </w:r>
      <w:r w:rsidR="00AD7F2C" w:rsidRPr="00A826E1">
        <w:rPr>
          <w:rFonts w:cs="Times New Roman"/>
        </w:rPr>
        <w:t xml:space="preserve"> was </w:t>
      </w:r>
      <w:r w:rsidR="00163D4B" w:rsidRPr="00A826E1">
        <w:rPr>
          <w:rFonts w:cs="Times New Roman"/>
        </w:rPr>
        <w:t xml:space="preserve">a large-scale, </w:t>
      </w:r>
      <w:r w:rsidR="005E5E91" w:rsidRPr="00A826E1">
        <w:rPr>
          <w:rFonts w:cs="Times New Roman"/>
        </w:rPr>
        <w:t xml:space="preserve">double-layered </w:t>
      </w:r>
      <w:r w:rsidR="00733014" w:rsidRPr="00A826E1">
        <w:rPr>
          <w:rFonts w:cs="Times New Roman"/>
        </w:rPr>
        <w:t>pneumatic</w:t>
      </w:r>
      <w:r w:rsidR="00163D4B" w:rsidRPr="00A826E1">
        <w:rPr>
          <w:rFonts w:cs="Times New Roman"/>
        </w:rPr>
        <w:t xml:space="preserve"> membrane </w:t>
      </w:r>
      <w:r w:rsidRPr="00A826E1">
        <w:rPr>
          <w:rFonts w:cs="Times New Roman"/>
        </w:rPr>
        <w:t xml:space="preserve">developed and fabricated in collaboration with architecture students at UWM </w:t>
      </w:r>
      <w:r w:rsidRPr="00A826E1">
        <w:rPr>
          <w:b/>
        </w:rPr>
        <w:t xml:space="preserve">(Fig. </w:t>
      </w:r>
      <w:r w:rsidR="00866C4A">
        <w:rPr>
          <w:b/>
        </w:rPr>
        <w:t>18</w:t>
      </w:r>
      <w:r w:rsidRPr="00A826E1">
        <w:rPr>
          <w:b/>
        </w:rPr>
        <w:t>)</w:t>
      </w:r>
      <w:r w:rsidRPr="00A826E1">
        <w:rPr>
          <w:rFonts w:cs="Times New Roman"/>
        </w:rPr>
        <w:t>.</w:t>
      </w:r>
      <w:r w:rsidRPr="00A826E1">
        <w:rPr>
          <w:rStyle w:val="EndnoteReference"/>
          <w:szCs w:val="20"/>
        </w:rPr>
        <w:endnoteReference w:id="70"/>
      </w:r>
      <w:r w:rsidR="00733014" w:rsidRPr="00A826E1">
        <w:rPr>
          <w:rFonts w:cs="Times New Roman"/>
        </w:rPr>
        <w:t xml:space="preserve"> </w:t>
      </w:r>
      <w:r w:rsidR="00733014" w:rsidRPr="0045470C">
        <w:rPr>
          <w:rFonts w:cs="Times New Roman"/>
        </w:rPr>
        <w:t>A</w:t>
      </w:r>
      <w:r w:rsidR="00CA4631" w:rsidRPr="0045470C">
        <w:rPr>
          <w:rFonts w:cs="Times New Roman"/>
        </w:rPr>
        <w:t>t</w:t>
      </w:r>
      <w:r w:rsidR="00CA4631">
        <w:rPr>
          <w:rFonts w:cs="Times New Roman"/>
        </w:rPr>
        <w:t xml:space="preserve"> </w:t>
      </w:r>
      <w:r w:rsidR="0045470C" w:rsidRPr="00A826E1">
        <w:rPr>
          <w:rFonts w:cs="Times New Roman"/>
        </w:rPr>
        <w:t>35-feet tall</w:t>
      </w:r>
      <w:r w:rsidR="0045470C">
        <w:rPr>
          <w:rFonts w:cs="Times New Roman"/>
        </w:rPr>
        <w:t>, the</w:t>
      </w:r>
      <w:r w:rsidR="00733014" w:rsidRPr="00A826E1">
        <w:rPr>
          <w:rFonts w:cs="Times New Roman"/>
        </w:rPr>
        <w:t xml:space="preserve"> </w:t>
      </w:r>
      <w:r w:rsidR="0045470C">
        <w:rPr>
          <w:rFonts w:cs="Times New Roman"/>
        </w:rPr>
        <w:t xml:space="preserve">inflated </w:t>
      </w:r>
      <w:r w:rsidR="00733014" w:rsidRPr="00A826E1">
        <w:rPr>
          <w:rFonts w:cs="Times New Roman"/>
        </w:rPr>
        <w:t>mobile exhibit and performance enclosure</w:t>
      </w:r>
      <w:r w:rsidR="0045470C">
        <w:rPr>
          <w:rFonts w:cs="Times New Roman"/>
        </w:rPr>
        <w:t xml:space="preserve"> sat 200 people within</w:t>
      </w:r>
      <w:r w:rsidR="00DE429D" w:rsidRPr="00A826E1">
        <w:rPr>
          <w:rFonts w:cs="Times New Roman"/>
        </w:rPr>
        <w:t xml:space="preserve"> </w:t>
      </w:r>
      <w:r w:rsidR="0045470C">
        <w:rPr>
          <w:rFonts w:cs="Times New Roman"/>
        </w:rPr>
        <w:t>a</w:t>
      </w:r>
      <w:r w:rsidR="0045470C" w:rsidRPr="00A826E1">
        <w:rPr>
          <w:rFonts w:cs="Times New Roman"/>
        </w:rPr>
        <w:t xml:space="preserve"> </w:t>
      </w:r>
      <w:r w:rsidR="00C91440" w:rsidRPr="00A826E1">
        <w:rPr>
          <w:rFonts w:cs="Times New Roman"/>
        </w:rPr>
        <w:t>yellow</w:t>
      </w:r>
      <w:r w:rsidR="0045470C">
        <w:rPr>
          <w:rFonts w:cs="Times New Roman"/>
        </w:rPr>
        <w:t xml:space="preserve"> </w:t>
      </w:r>
      <w:r w:rsidR="00C91440" w:rsidRPr="00A826E1">
        <w:rPr>
          <w:rFonts w:cs="Times New Roman"/>
        </w:rPr>
        <w:t>prismatic form</w:t>
      </w:r>
      <w:r w:rsidR="00C91440" w:rsidRPr="00A826E1">
        <w:rPr>
          <w:rFonts w:cs="Times New Roman"/>
          <w:i/>
        </w:rPr>
        <w:t xml:space="preserve">. </w:t>
      </w:r>
      <w:r w:rsidR="00DE429D" w:rsidRPr="00A826E1">
        <w:rPr>
          <w:rFonts w:cs="Times New Roman"/>
          <w:i/>
        </w:rPr>
        <w:t xml:space="preserve">Three Rivers </w:t>
      </w:r>
      <w:r w:rsidR="00DE429D" w:rsidRPr="00A826E1">
        <w:rPr>
          <w:rFonts w:cs="Times New Roman"/>
        </w:rPr>
        <w:t xml:space="preserve">was typically erected </w:t>
      </w:r>
      <w:r w:rsidR="0045470C" w:rsidRPr="00A826E1">
        <w:rPr>
          <w:rFonts w:cs="Times New Roman"/>
        </w:rPr>
        <w:t xml:space="preserve">on a concrete plaza located over a parking garage </w:t>
      </w:r>
      <w:r w:rsidR="00DE429D" w:rsidRPr="00A826E1">
        <w:rPr>
          <w:rFonts w:cs="Times New Roman"/>
        </w:rPr>
        <w:t xml:space="preserve">adjacent to the Westinghouse building in downtown Pittsburg. </w:t>
      </w:r>
      <w:r w:rsidR="004B0311" w:rsidRPr="00A826E1">
        <w:rPr>
          <w:rFonts w:cs="Times New Roman"/>
        </w:rPr>
        <w:t>The project presented a myriad of technical challenges for Valerio and Hubble. For example, because the client wanted to be able to inflate and deflate the project as needed, conveniently locating the air supply was an important problem to resolve</w:t>
      </w:r>
      <w:r w:rsidR="00DE429D" w:rsidRPr="00A826E1">
        <w:rPr>
          <w:rFonts w:cs="Times New Roman"/>
        </w:rPr>
        <w:t xml:space="preserve">. An existing </w:t>
      </w:r>
      <w:r w:rsidR="00397F63" w:rsidRPr="00A826E1">
        <w:rPr>
          <w:rFonts w:cs="Times New Roman"/>
        </w:rPr>
        <w:t>airshaft</w:t>
      </w:r>
      <w:r w:rsidR="00DE429D" w:rsidRPr="00A826E1">
        <w:rPr>
          <w:rFonts w:cs="Times New Roman"/>
        </w:rPr>
        <w:t xml:space="preserve"> </w:t>
      </w:r>
      <w:r w:rsidR="00397F63">
        <w:rPr>
          <w:rFonts w:cs="Times New Roman"/>
        </w:rPr>
        <w:t>divided</w:t>
      </w:r>
      <w:r w:rsidR="00397F63" w:rsidRPr="00A826E1">
        <w:rPr>
          <w:rFonts w:cs="Times New Roman"/>
        </w:rPr>
        <w:t xml:space="preserve"> </w:t>
      </w:r>
      <w:r w:rsidR="00DE429D" w:rsidRPr="00A826E1">
        <w:rPr>
          <w:rFonts w:cs="Times New Roman"/>
        </w:rPr>
        <w:t>the plaza and parking garage</w:t>
      </w:r>
      <w:r w:rsidR="00397F63">
        <w:rPr>
          <w:rFonts w:cs="Times New Roman"/>
        </w:rPr>
        <w:t>, which</w:t>
      </w:r>
      <w:r w:rsidR="00DE429D" w:rsidRPr="00A826E1">
        <w:rPr>
          <w:rFonts w:cs="Times New Roman"/>
        </w:rPr>
        <w:t xml:space="preserve"> allowed them to run a </w:t>
      </w:r>
      <w:r w:rsidR="00DE429D" w:rsidRPr="00A826E1">
        <w:rPr>
          <w:rFonts w:cs="Times New Roman"/>
        </w:rPr>
        <w:lastRenderedPageBreak/>
        <w:t>conventional HVAC duct between the blower (permane</w:t>
      </w:r>
      <w:r w:rsidR="00A826E1" w:rsidRPr="00A826E1">
        <w:rPr>
          <w:rFonts w:cs="Times New Roman"/>
        </w:rPr>
        <w:t>ntly installed in the garage) and</w:t>
      </w:r>
      <w:r w:rsidR="00DE429D" w:rsidRPr="00A826E1">
        <w:rPr>
          <w:rFonts w:cs="Times New Roman"/>
        </w:rPr>
        <w:t xml:space="preserve"> the </w:t>
      </w:r>
      <w:r w:rsidR="00F33A5D">
        <w:rPr>
          <w:rFonts w:cs="Times New Roman"/>
        </w:rPr>
        <w:t>inflatable structure.</w:t>
      </w:r>
    </w:p>
    <w:p w14:paraId="065C28A8" w14:textId="77777777" w:rsidR="00FC4623" w:rsidRDefault="00FC4623" w:rsidP="00E931F8">
      <w:pPr>
        <w:rPr>
          <w:rFonts w:cs="Times New Roman"/>
        </w:rPr>
      </w:pPr>
    </w:p>
    <w:p w14:paraId="53B1C4B3" w14:textId="79728C66" w:rsidR="00843CE2" w:rsidRPr="007D5B82" w:rsidRDefault="00A826E1" w:rsidP="00E931F8">
      <w:pPr>
        <w:rPr>
          <w:rFonts w:cs="Times New Roman"/>
        </w:rPr>
      </w:pPr>
      <w:r>
        <w:rPr>
          <w:rFonts w:cs="Times New Roman"/>
        </w:rPr>
        <w:t xml:space="preserve">For </w:t>
      </w:r>
      <w:r w:rsidRPr="00A826E1">
        <w:rPr>
          <w:rFonts w:cs="Times New Roman"/>
          <w:i/>
        </w:rPr>
        <w:t>Three Rivers</w:t>
      </w:r>
      <w:r>
        <w:rPr>
          <w:rFonts w:cs="Times New Roman"/>
        </w:rPr>
        <w:t xml:space="preserve">, the decision to work with a </w:t>
      </w:r>
      <w:r w:rsidR="005E5E91" w:rsidRPr="007D5B82">
        <w:rPr>
          <w:rFonts w:cs="Times New Roman"/>
        </w:rPr>
        <w:t xml:space="preserve">double-layer </w:t>
      </w:r>
      <w:r w:rsidR="00C91440" w:rsidRPr="007D5B82">
        <w:rPr>
          <w:rFonts w:cs="Times New Roman"/>
        </w:rPr>
        <w:t xml:space="preserve">pneumatic </w:t>
      </w:r>
      <w:r w:rsidR="00C56FA7" w:rsidRPr="007D5B82">
        <w:rPr>
          <w:rFonts w:cs="Times New Roman"/>
        </w:rPr>
        <w:t>membrane</w:t>
      </w:r>
      <w:r w:rsidR="005E5E91" w:rsidRPr="007D5B82">
        <w:rPr>
          <w:rFonts w:cs="Times New Roman"/>
        </w:rPr>
        <w:t xml:space="preserve"> allowed for greater flexibility in the </w:t>
      </w:r>
      <w:r w:rsidR="00DB5E89" w:rsidRPr="007D5B82">
        <w:rPr>
          <w:rFonts w:cs="Times New Roman"/>
        </w:rPr>
        <w:t xml:space="preserve">size, </w:t>
      </w:r>
      <w:r w:rsidR="005E5E91" w:rsidRPr="007D5B82">
        <w:rPr>
          <w:rFonts w:cs="Times New Roman"/>
        </w:rPr>
        <w:t>location</w:t>
      </w:r>
      <w:r w:rsidR="005B0AA2">
        <w:rPr>
          <w:rFonts w:cs="Times New Roman"/>
        </w:rPr>
        <w:t>,</w:t>
      </w:r>
      <w:r w:rsidR="005E5E91" w:rsidRPr="007D5B82">
        <w:rPr>
          <w:rFonts w:cs="Times New Roman"/>
        </w:rPr>
        <w:t xml:space="preserve"> and number of apertures</w:t>
      </w:r>
      <w:r w:rsidR="00667E2B">
        <w:rPr>
          <w:rFonts w:cs="Times New Roman"/>
        </w:rPr>
        <w:t>;</w:t>
      </w:r>
      <w:r w:rsidR="005E5E91" w:rsidRPr="007D5B82">
        <w:rPr>
          <w:rFonts w:cs="Times New Roman"/>
        </w:rPr>
        <w:t xml:space="preserve"> </w:t>
      </w:r>
      <w:r w:rsidR="00667E2B">
        <w:rPr>
          <w:rFonts w:cs="Times New Roman"/>
        </w:rPr>
        <w:t xml:space="preserve">it additionally </w:t>
      </w:r>
      <w:r>
        <w:rPr>
          <w:rFonts w:cs="Times New Roman"/>
        </w:rPr>
        <w:t xml:space="preserve">provided </w:t>
      </w:r>
      <w:r w:rsidR="005E5E91" w:rsidRPr="007D5B82">
        <w:rPr>
          <w:rFonts w:cs="Times New Roman"/>
        </w:rPr>
        <w:t>enhanced thermal and acoustic properties</w:t>
      </w:r>
      <w:r w:rsidR="0012169C" w:rsidRPr="007D5B82">
        <w:rPr>
          <w:rFonts w:cs="Times New Roman"/>
        </w:rPr>
        <w:t xml:space="preserve"> </w:t>
      </w:r>
      <w:r w:rsidR="0012169C" w:rsidRPr="007D5B82">
        <w:rPr>
          <w:b/>
        </w:rPr>
        <w:t xml:space="preserve">(Fig. </w:t>
      </w:r>
      <w:r w:rsidR="009A74DE">
        <w:rPr>
          <w:b/>
        </w:rPr>
        <w:t>19</w:t>
      </w:r>
      <w:r w:rsidR="0012169C" w:rsidRPr="007D5B82">
        <w:rPr>
          <w:b/>
        </w:rPr>
        <w:t>)</w:t>
      </w:r>
      <w:r w:rsidR="00C56FA7" w:rsidRPr="007D5B82">
        <w:rPr>
          <w:rFonts w:cs="Times New Roman"/>
        </w:rPr>
        <w:t xml:space="preserve">. The </w:t>
      </w:r>
      <w:r w:rsidR="00C91440" w:rsidRPr="007D5B82">
        <w:rPr>
          <w:rFonts w:cs="Times New Roman"/>
        </w:rPr>
        <w:t>inflatable</w:t>
      </w:r>
      <w:r w:rsidR="00C56FA7" w:rsidRPr="007D5B82">
        <w:rPr>
          <w:rFonts w:cs="Times New Roman"/>
        </w:rPr>
        <w:t xml:space="preserve"> could easily be repositioned</w:t>
      </w:r>
      <w:r w:rsidR="00A034A9" w:rsidRPr="007D5B82">
        <w:rPr>
          <w:rFonts w:cs="Times New Roman"/>
        </w:rPr>
        <w:t xml:space="preserve"> and </w:t>
      </w:r>
      <w:r w:rsidR="00C56FA7" w:rsidRPr="007D5B82">
        <w:rPr>
          <w:rFonts w:cs="Times New Roman"/>
        </w:rPr>
        <w:t>was</w:t>
      </w:r>
      <w:r w:rsidR="003C7C2A" w:rsidRPr="007D5B82">
        <w:rPr>
          <w:rFonts w:cs="Times New Roman"/>
        </w:rPr>
        <w:t xml:space="preserve"> anchored by either catenary edge cables or water ballast</w:t>
      </w:r>
      <w:r w:rsidR="00DB5E89" w:rsidRPr="007D5B82">
        <w:rPr>
          <w:rFonts w:cs="Times New Roman"/>
        </w:rPr>
        <w:t>.</w:t>
      </w:r>
      <w:r w:rsidR="003C7C2A" w:rsidRPr="007D5B82">
        <w:rPr>
          <w:rFonts w:cs="Times New Roman"/>
        </w:rPr>
        <w:t xml:space="preserve"> </w:t>
      </w:r>
      <w:r w:rsidR="00646E30" w:rsidRPr="007D5B82">
        <w:rPr>
          <w:rFonts w:cs="Times New Roman"/>
        </w:rPr>
        <w:t>U</w:t>
      </w:r>
      <w:r w:rsidR="00AD374C" w:rsidRPr="007D5B82">
        <w:rPr>
          <w:rFonts w:cs="Times New Roman"/>
        </w:rPr>
        <w:t>tilized as a seasonal event-space</w:t>
      </w:r>
      <w:r w:rsidR="00AD7F2C" w:rsidRPr="007D5B82">
        <w:rPr>
          <w:rFonts w:cs="Times New Roman"/>
        </w:rPr>
        <w:t xml:space="preserve"> </w:t>
      </w:r>
      <w:r w:rsidR="003C7C2A" w:rsidRPr="007D5B82">
        <w:rPr>
          <w:rFonts w:cs="Times New Roman"/>
        </w:rPr>
        <w:t xml:space="preserve">in Pittsburg </w:t>
      </w:r>
      <w:r w:rsidR="00AD7F2C" w:rsidRPr="007D5B82">
        <w:rPr>
          <w:rFonts w:cs="Times New Roman"/>
        </w:rPr>
        <w:t>for ten years</w:t>
      </w:r>
      <w:r w:rsidR="00646E30" w:rsidRPr="007D5B82">
        <w:rPr>
          <w:rFonts w:cs="Times New Roman"/>
        </w:rPr>
        <w:t xml:space="preserve">, </w:t>
      </w:r>
      <w:r w:rsidR="00417662" w:rsidRPr="007D5B82">
        <w:rPr>
          <w:rFonts w:cs="Times New Roman"/>
        </w:rPr>
        <w:t>Valerio describes t</w:t>
      </w:r>
      <w:r w:rsidR="00AD374C" w:rsidRPr="007D5B82">
        <w:rPr>
          <w:rFonts w:cs="Times New Roman"/>
        </w:rPr>
        <w:t xml:space="preserve">he temporary pneumatic enclosure as a </w:t>
      </w:r>
      <w:r w:rsidR="000143ED" w:rsidRPr="007D5B82">
        <w:rPr>
          <w:rFonts w:cs="Times New Roman"/>
        </w:rPr>
        <w:t>“serious building.</w:t>
      </w:r>
      <w:r>
        <w:rPr>
          <w:rFonts w:cs="Times New Roman"/>
        </w:rPr>
        <w:t>”</w:t>
      </w:r>
      <w:r w:rsidR="00AD374C" w:rsidRPr="007D5B82">
        <w:rPr>
          <w:rStyle w:val="EndnoteReference"/>
          <w:rFonts w:cs="Times New Roman"/>
          <w:szCs w:val="20"/>
        </w:rPr>
        <w:endnoteReference w:id="71"/>
      </w:r>
      <w:r w:rsidR="00417662" w:rsidRPr="007D5B82">
        <w:rPr>
          <w:rFonts w:cs="Times New Roman"/>
        </w:rPr>
        <w:t xml:space="preserve"> He adds, “</w:t>
      </w:r>
      <w:r w:rsidR="00DB5E89" w:rsidRPr="007D5B82">
        <w:rPr>
          <w:rFonts w:cs="Times New Roman"/>
          <w:i/>
        </w:rPr>
        <w:t>Three Rivers</w:t>
      </w:r>
      <w:r w:rsidR="00417662" w:rsidRPr="007D5B82">
        <w:rPr>
          <w:rFonts w:cs="Times New Roman"/>
        </w:rPr>
        <w:t xml:space="preserve"> was supposed to be all about implied mass. The structure that in truth weighs less than a pound per square foot had a presence implying a far greater weight—air made vis</w:t>
      </w:r>
      <w:r>
        <w:rPr>
          <w:rFonts w:cs="Times New Roman"/>
        </w:rPr>
        <w:t>ible and solid at the same time</w:t>
      </w:r>
      <w:r>
        <w:t>.</w:t>
      </w:r>
      <w:r w:rsidR="009A74DE">
        <w:t>”</w:t>
      </w:r>
      <w:r w:rsidR="00417662" w:rsidRPr="007D5B82">
        <w:rPr>
          <w:rStyle w:val="EndnoteReference"/>
          <w:rFonts w:cs="Times New Roman"/>
          <w:szCs w:val="20"/>
        </w:rPr>
        <w:endnoteReference w:id="72"/>
      </w:r>
      <w:r w:rsidR="00417662" w:rsidRPr="007D5B82">
        <w:rPr>
          <w:rFonts w:cs="Times New Roman"/>
        </w:rPr>
        <w:t xml:space="preserve"> This “ambiguity of the structure”</w:t>
      </w:r>
      <w:r w:rsidR="008F3FA5" w:rsidRPr="007D5B82">
        <w:rPr>
          <w:rFonts w:cs="Times New Roman"/>
        </w:rPr>
        <w:t>—</w:t>
      </w:r>
      <w:r w:rsidR="005C645A" w:rsidRPr="007D5B82">
        <w:rPr>
          <w:rFonts w:cs="Times New Roman"/>
        </w:rPr>
        <w:t>oscillat</w:t>
      </w:r>
      <w:r w:rsidR="005C645A">
        <w:rPr>
          <w:rFonts w:cs="Times New Roman"/>
        </w:rPr>
        <w:t>ed</w:t>
      </w:r>
      <w:r w:rsidR="005C645A" w:rsidRPr="007D5B82">
        <w:rPr>
          <w:rFonts w:cs="Times New Roman"/>
        </w:rPr>
        <w:t xml:space="preserve"> </w:t>
      </w:r>
      <w:r w:rsidR="008F3FA5" w:rsidRPr="007D5B82">
        <w:rPr>
          <w:rFonts w:cs="Times New Roman"/>
        </w:rPr>
        <w:t>somewhere between ephemeral and permanent, stable and unstable, light and heavy, etc.—</w:t>
      </w:r>
      <w:r w:rsidR="005C645A">
        <w:rPr>
          <w:rFonts w:cs="Times New Roman"/>
        </w:rPr>
        <w:t xml:space="preserve">and </w:t>
      </w:r>
      <w:r w:rsidR="00417662" w:rsidRPr="007D5B82">
        <w:rPr>
          <w:rFonts w:cs="Times New Roman"/>
        </w:rPr>
        <w:t>indexe</w:t>
      </w:r>
      <w:r w:rsidR="005C645A">
        <w:rPr>
          <w:rFonts w:cs="Times New Roman"/>
        </w:rPr>
        <w:t>d</w:t>
      </w:r>
      <w:r w:rsidR="00417662" w:rsidRPr="007D5B82">
        <w:rPr>
          <w:rFonts w:cs="Times New Roman"/>
        </w:rPr>
        <w:t xml:space="preserve"> Valerio’s desire to push pneumatic technology closer to </w:t>
      </w:r>
      <w:r w:rsidR="003C7C2A" w:rsidRPr="007D5B82">
        <w:rPr>
          <w:rFonts w:cs="Times New Roman"/>
        </w:rPr>
        <w:t>that of</w:t>
      </w:r>
      <w:r w:rsidR="00417662" w:rsidRPr="007D5B82">
        <w:rPr>
          <w:rFonts w:cs="Times New Roman"/>
        </w:rPr>
        <w:t xml:space="preserve"> buildings</w:t>
      </w:r>
      <w:r w:rsidR="000143ED" w:rsidRPr="007D5B82">
        <w:rPr>
          <w:rFonts w:cs="Times New Roman"/>
        </w:rPr>
        <w:t>.</w:t>
      </w:r>
      <w:r w:rsidR="00417662" w:rsidRPr="007D5B82">
        <w:rPr>
          <w:rStyle w:val="EndnoteReference"/>
          <w:rFonts w:cs="Times New Roman"/>
          <w:szCs w:val="20"/>
        </w:rPr>
        <w:endnoteReference w:id="73"/>
      </w:r>
      <w:r w:rsidR="00417662" w:rsidRPr="007D5B82">
        <w:rPr>
          <w:rFonts w:cs="Times New Roman"/>
        </w:rPr>
        <w:t xml:space="preserve"> </w:t>
      </w:r>
    </w:p>
    <w:p w14:paraId="64733F33" w14:textId="77777777" w:rsidR="00B81B8C" w:rsidRPr="007D5B82" w:rsidRDefault="00B81B8C" w:rsidP="00B81B8C">
      <w:pPr>
        <w:rPr>
          <w:rFonts w:cs="Times New Roman"/>
        </w:rPr>
      </w:pPr>
    </w:p>
    <w:p w14:paraId="449AD75B" w14:textId="2498BAC0" w:rsidR="004C7355" w:rsidRPr="007D5B82" w:rsidRDefault="008F3FA5" w:rsidP="004C7355">
      <w:pPr>
        <w:rPr>
          <w:rFonts w:cs="Times New Roman"/>
        </w:rPr>
      </w:pPr>
      <w:r w:rsidRPr="007D5B82">
        <w:rPr>
          <w:rFonts w:cs="Times New Roman"/>
        </w:rPr>
        <w:t>Due to its dual-walled enclosure</w:t>
      </w:r>
      <w:r w:rsidR="00C1602B">
        <w:rPr>
          <w:rFonts w:cs="Times New Roman"/>
        </w:rPr>
        <w:t xml:space="preserve"> and lack of an</w:t>
      </w:r>
      <w:r w:rsidR="00C1602B" w:rsidRPr="007D5B82">
        <w:rPr>
          <w:rFonts w:cs="Times New Roman"/>
        </w:rPr>
        <w:t xml:space="preserve"> air seal or lock</w:t>
      </w:r>
      <w:r w:rsidRPr="007D5B82">
        <w:rPr>
          <w:rFonts w:cs="Times New Roman"/>
        </w:rPr>
        <w:t xml:space="preserve">, </w:t>
      </w:r>
      <w:r w:rsidR="00843CE2" w:rsidRPr="007D5B82">
        <w:rPr>
          <w:rFonts w:cs="Times New Roman"/>
          <w:i/>
        </w:rPr>
        <w:t>Three Rivers</w:t>
      </w:r>
      <w:r w:rsidR="00843CE2" w:rsidRPr="007D5B82">
        <w:rPr>
          <w:rFonts w:cs="Times New Roman"/>
        </w:rPr>
        <w:t xml:space="preserve"> </w:t>
      </w:r>
      <w:r w:rsidR="00AD374C" w:rsidRPr="007D5B82">
        <w:rPr>
          <w:rFonts w:cs="Times New Roman"/>
        </w:rPr>
        <w:t>afforded more structural</w:t>
      </w:r>
      <w:r w:rsidR="00417662" w:rsidRPr="007D5B82">
        <w:rPr>
          <w:rFonts w:cs="Times New Roman"/>
        </w:rPr>
        <w:t>,</w:t>
      </w:r>
      <w:r w:rsidR="00AD374C" w:rsidRPr="007D5B82">
        <w:rPr>
          <w:rFonts w:cs="Times New Roman"/>
        </w:rPr>
        <w:t xml:space="preserve"> spatial</w:t>
      </w:r>
      <w:r w:rsidR="005B0AA2">
        <w:rPr>
          <w:rFonts w:cs="Times New Roman"/>
        </w:rPr>
        <w:t>,</w:t>
      </w:r>
      <w:r w:rsidR="00417662" w:rsidRPr="007D5B82">
        <w:rPr>
          <w:rFonts w:cs="Times New Roman"/>
        </w:rPr>
        <w:t xml:space="preserve"> and programmatic</w:t>
      </w:r>
      <w:r w:rsidR="00AD374C" w:rsidRPr="007D5B82">
        <w:rPr>
          <w:rFonts w:cs="Times New Roman"/>
        </w:rPr>
        <w:t xml:space="preserve"> free</w:t>
      </w:r>
      <w:r w:rsidR="0012169C" w:rsidRPr="007D5B82">
        <w:rPr>
          <w:rFonts w:cs="Times New Roman"/>
        </w:rPr>
        <w:t>dom</w:t>
      </w:r>
      <w:r w:rsidR="00AD374C" w:rsidRPr="007D5B82">
        <w:rPr>
          <w:rFonts w:cs="Times New Roman"/>
        </w:rPr>
        <w:t xml:space="preserve">, </w:t>
      </w:r>
      <w:r w:rsidR="00417662" w:rsidRPr="007D5B82">
        <w:rPr>
          <w:rFonts w:cs="Times New Roman"/>
        </w:rPr>
        <w:t>yet</w:t>
      </w:r>
      <w:r w:rsidR="00AD374C" w:rsidRPr="007D5B82">
        <w:rPr>
          <w:rFonts w:cs="Times New Roman"/>
        </w:rPr>
        <w:t xml:space="preserve"> </w:t>
      </w:r>
      <w:r w:rsidRPr="007D5B82">
        <w:rPr>
          <w:rFonts w:cs="Times New Roman"/>
        </w:rPr>
        <w:t xml:space="preserve">much like a building, </w:t>
      </w:r>
      <w:r w:rsidR="00417662" w:rsidRPr="007D5B82">
        <w:rPr>
          <w:rFonts w:cs="Times New Roman"/>
        </w:rPr>
        <w:t xml:space="preserve">its </w:t>
      </w:r>
      <w:r w:rsidR="00707063" w:rsidRPr="007D5B82">
        <w:rPr>
          <w:rFonts w:cs="Times New Roman"/>
        </w:rPr>
        <w:t>plan</w:t>
      </w:r>
      <w:r w:rsidR="00417662" w:rsidRPr="007D5B82">
        <w:rPr>
          <w:rFonts w:cs="Times New Roman"/>
        </w:rPr>
        <w:t xml:space="preserve"> was</w:t>
      </w:r>
      <w:r w:rsidR="00AD374C" w:rsidRPr="007D5B82">
        <w:rPr>
          <w:rFonts w:cs="Times New Roman"/>
        </w:rPr>
        <w:t xml:space="preserve"> </w:t>
      </w:r>
      <w:r w:rsidR="00417662" w:rsidRPr="007D5B82">
        <w:rPr>
          <w:rFonts w:cs="Times New Roman"/>
        </w:rPr>
        <w:t xml:space="preserve">shaped </w:t>
      </w:r>
      <w:r w:rsidR="004350FE" w:rsidRPr="007D5B82">
        <w:rPr>
          <w:rFonts w:cs="Times New Roman"/>
        </w:rPr>
        <w:t xml:space="preserve">not only by program and site, </w:t>
      </w:r>
      <w:r w:rsidR="00C1602B" w:rsidRPr="007D5B82">
        <w:rPr>
          <w:rFonts w:cs="Times New Roman"/>
        </w:rPr>
        <w:t>but also</w:t>
      </w:r>
      <w:r w:rsidR="004350FE" w:rsidRPr="007D5B82">
        <w:rPr>
          <w:rFonts w:cs="Times New Roman"/>
        </w:rPr>
        <w:t xml:space="preserve"> </w:t>
      </w:r>
      <w:r w:rsidR="005B0AA2">
        <w:rPr>
          <w:rFonts w:cs="Times New Roman"/>
        </w:rPr>
        <w:t xml:space="preserve">by </w:t>
      </w:r>
      <w:r w:rsidR="00D80CA3" w:rsidRPr="007D5B82">
        <w:rPr>
          <w:rFonts w:cs="Times New Roman"/>
        </w:rPr>
        <w:t>codes</w:t>
      </w:r>
      <w:r w:rsidRPr="007D5B82">
        <w:rPr>
          <w:rFonts w:cs="Times New Roman"/>
        </w:rPr>
        <w:t xml:space="preserve">. </w:t>
      </w:r>
      <w:r w:rsidR="00707063" w:rsidRPr="007D5B82">
        <w:rPr>
          <w:rFonts w:cs="Times New Roman"/>
        </w:rPr>
        <w:t>For example, in response to</w:t>
      </w:r>
      <w:r w:rsidR="008D0149" w:rsidRPr="007D5B82">
        <w:rPr>
          <w:rFonts w:cs="Times New Roman"/>
        </w:rPr>
        <w:t xml:space="preserve"> egress requirements, an extra access door </w:t>
      </w:r>
      <w:r w:rsidR="00707063" w:rsidRPr="007D5B82">
        <w:rPr>
          <w:rFonts w:cs="Times New Roman"/>
        </w:rPr>
        <w:t>had to be added to the north side of the event structure</w:t>
      </w:r>
      <w:r w:rsidR="001A7C4D">
        <w:rPr>
          <w:rFonts w:cs="Times New Roman"/>
        </w:rPr>
        <w:t>; likewise,</w:t>
      </w:r>
      <w:r w:rsidR="005B0AA2" w:rsidRPr="005B0AA2">
        <w:rPr>
          <w:rFonts w:cs="Times New Roman"/>
        </w:rPr>
        <w:t xml:space="preserve"> </w:t>
      </w:r>
      <w:r w:rsidR="005B0AA2" w:rsidRPr="007D5B82">
        <w:rPr>
          <w:rFonts w:cs="Times New Roman"/>
        </w:rPr>
        <w:t>electrical wiring for the lighting and sound systems w</w:t>
      </w:r>
      <w:r w:rsidR="001A7C4D">
        <w:rPr>
          <w:rFonts w:cs="Times New Roman"/>
        </w:rPr>
        <w:t xml:space="preserve">ere </w:t>
      </w:r>
      <w:r w:rsidR="005B0AA2" w:rsidRPr="007D5B82">
        <w:rPr>
          <w:rFonts w:cs="Times New Roman"/>
        </w:rPr>
        <w:t>carefully incorporated into the design</w:t>
      </w:r>
      <w:r w:rsidR="005B0AA2">
        <w:rPr>
          <w:rFonts w:cs="Times New Roman"/>
        </w:rPr>
        <w:t xml:space="preserve"> </w:t>
      </w:r>
      <w:r w:rsidR="000143ED" w:rsidRPr="007D5B82">
        <w:rPr>
          <w:b/>
        </w:rPr>
        <w:t>(Fig. 2</w:t>
      </w:r>
      <w:r w:rsidR="009A74DE">
        <w:rPr>
          <w:b/>
        </w:rPr>
        <w:t>0</w:t>
      </w:r>
      <w:r w:rsidR="000143ED" w:rsidRPr="007D5B82">
        <w:rPr>
          <w:b/>
        </w:rPr>
        <w:t>)</w:t>
      </w:r>
      <w:r w:rsidR="004350FE" w:rsidRPr="007D5B82">
        <w:rPr>
          <w:rFonts w:cs="Times New Roman"/>
        </w:rPr>
        <w:t xml:space="preserve">. </w:t>
      </w:r>
      <w:r w:rsidR="00707063" w:rsidRPr="007D5B82">
        <w:rPr>
          <w:rFonts w:cs="Times New Roman"/>
        </w:rPr>
        <w:t>Rather than simply running cords along the floor</w:t>
      </w:r>
      <w:r w:rsidR="001A7C4D">
        <w:rPr>
          <w:rFonts w:cs="Times New Roman"/>
        </w:rPr>
        <w:t xml:space="preserve">—those </w:t>
      </w:r>
      <w:r w:rsidR="00707063" w:rsidRPr="007D5B82">
        <w:rPr>
          <w:rFonts w:cs="Times New Roman"/>
        </w:rPr>
        <w:t>which might otherwise be taped down</w:t>
      </w:r>
      <w:r w:rsidR="001A7C4D">
        <w:rPr>
          <w:rFonts w:cs="Times New Roman"/>
        </w:rPr>
        <w:t>—</w:t>
      </w:r>
      <w:r w:rsidR="00707063" w:rsidRPr="007D5B82">
        <w:rPr>
          <w:rFonts w:cs="Times New Roman"/>
        </w:rPr>
        <w:t>the inflatable include</w:t>
      </w:r>
      <w:r w:rsidR="001A7C4D">
        <w:rPr>
          <w:rFonts w:cs="Times New Roman"/>
        </w:rPr>
        <w:t>d</w:t>
      </w:r>
      <w:r w:rsidR="00707063" w:rsidRPr="007D5B82">
        <w:rPr>
          <w:rFonts w:cs="Times New Roman"/>
        </w:rPr>
        <w:t xml:space="preserve"> an additional fabric sleeve (e.g.</w:t>
      </w:r>
      <w:r w:rsidR="000143ED" w:rsidRPr="007D5B82">
        <w:rPr>
          <w:rFonts w:cs="Times New Roman"/>
        </w:rPr>
        <w:t>,</w:t>
      </w:r>
      <w:r w:rsidR="00707063" w:rsidRPr="007D5B82">
        <w:rPr>
          <w:rFonts w:cs="Times New Roman"/>
        </w:rPr>
        <w:t xml:space="preserve"> conduit) along its perimeter base, and O-ring</w:t>
      </w:r>
      <w:r w:rsidR="004D1A5D" w:rsidRPr="007D5B82">
        <w:rPr>
          <w:rFonts w:cs="Times New Roman"/>
        </w:rPr>
        <w:t xml:space="preserve">s </w:t>
      </w:r>
      <w:r w:rsidR="001A7C4D">
        <w:rPr>
          <w:rFonts w:cs="Times New Roman"/>
        </w:rPr>
        <w:t>were</w:t>
      </w:r>
      <w:r w:rsidR="001A7C4D" w:rsidRPr="007D5B82">
        <w:rPr>
          <w:rFonts w:cs="Times New Roman"/>
        </w:rPr>
        <w:t xml:space="preserve"> </w:t>
      </w:r>
      <w:r w:rsidR="004D1A5D" w:rsidRPr="007D5B82">
        <w:rPr>
          <w:rFonts w:cs="Times New Roman"/>
        </w:rPr>
        <w:t>built into small fabric tabs</w:t>
      </w:r>
      <w:r w:rsidR="005B0AA2">
        <w:rPr>
          <w:rFonts w:cs="Times New Roman"/>
        </w:rPr>
        <w:t xml:space="preserve"> at the access door</w:t>
      </w:r>
      <w:r w:rsidR="004D1A5D" w:rsidRPr="007D5B82">
        <w:rPr>
          <w:rFonts w:cs="Times New Roman"/>
        </w:rPr>
        <w:t xml:space="preserve">. </w:t>
      </w:r>
      <w:r w:rsidR="001A7C4D">
        <w:rPr>
          <w:rFonts w:cs="Times New Roman"/>
        </w:rPr>
        <w:t xml:space="preserve">Despite </w:t>
      </w:r>
      <w:r w:rsidR="0002027A">
        <w:rPr>
          <w:rFonts w:cs="Times New Roman"/>
        </w:rPr>
        <w:t xml:space="preserve">being </w:t>
      </w:r>
      <w:r w:rsidR="004D1A5D" w:rsidRPr="007D5B82">
        <w:rPr>
          <w:rFonts w:cs="Times New Roman"/>
        </w:rPr>
        <w:t>a temporary structure</w:t>
      </w:r>
      <w:r w:rsidR="00A826E1">
        <w:rPr>
          <w:rFonts w:cs="Times New Roman"/>
        </w:rPr>
        <w:t xml:space="preserve"> </w:t>
      </w:r>
      <w:r w:rsidR="004D1A5D" w:rsidRPr="007D5B82">
        <w:rPr>
          <w:rFonts w:cs="Times New Roman"/>
        </w:rPr>
        <w:t>erected</w:t>
      </w:r>
      <w:r w:rsidR="0002027A">
        <w:rPr>
          <w:rFonts w:cs="Times New Roman"/>
        </w:rPr>
        <w:t xml:space="preserve"> and</w:t>
      </w:r>
      <w:r w:rsidR="004D1A5D" w:rsidRPr="007D5B82">
        <w:rPr>
          <w:rFonts w:cs="Times New Roman"/>
        </w:rPr>
        <w:t xml:space="preserve"> dismantled </w:t>
      </w:r>
      <w:r w:rsidR="005B0AA2">
        <w:rPr>
          <w:rFonts w:cs="Times New Roman"/>
        </w:rPr>
        <w:t>each year</w:t>
      </w:r>
      <w:r w:rsidR="00A826E1">
        <w:rPr>
          <w:rFonts w:cs="Times New Roman"/>
        </w:rPr>
        <w:t xml:space="preserve">, </w:t>
      </w:r>
      <w:r w:rsidR="004D1A5D" w:rsidRPr="007D5B82">
        <w:rPr>
          <w:rFonts w:cs="Times New Roman"/>
        </w:rPr>
        <w:t xml:space="preserve">the attentiveness to detail and meticulous craft </w:t>
      </w:r>
      <w:r w:rsidR="008D0149" w:rsidRPr="007D5B82">
        <w:rPr>
          <w:rFonts w:cs="Times New Roman"/>
        </w:rPr>
        <w:t xml:space="preserve">of </w:t>
      </w:r>
      <w:r w:rsidR="008D0149" w:rsidRPr="007D5B82">
        <w:rPr>
          <w:rFonts w:cs="Times New Roman"/>
          <w:i/>
        </w:rPr>
        <w:t>Three Rivers</w:t>
      </w:r>
      <w:r w:rsidR="008D0149" w:rsidRPr="007D5B82">
        <w:rPr>
          <w:rFonts w:cs="Times New Roman"/>
        </w:rPr>
        <w:t xml:space="preserve"> </w:t>
      </w:r>
      <w:r w:rsidR="0002027A">
        <w:rPr>
          <w:rFonts w:cs="Times New Roman"/>
        </w:rPr>
        <w:t>demonstrated</w:t>
      </w:r>
      <w:r w:rsidR="00C418FA" w:rsidRPr="007D5B82">
        <w:rPr>
          <w:rFonts w:cs="Times New Roman"/>
        </w:rPr>
        <w:t xml:space="preserve"> an advanced degree of expertise in the design and construction of DIY inflatables.</w:t>
      </w:r>
      <w:r w:rsidR="004C7355" w:rsidRPr="007D5B82">
        <w:rPr>
          <w:rFonts w:cs="Times New Roman"/>
        </w:rPr>
        <w:t xml:space="preserve"> </w:t>
      </w:r>
    </w:p>
    <w:p w14:paraId="3C9D6BA3" w14:textId="77777777" w:rsidR="00432D13" w:rsidRPr="007D5B82" w:rsidRDefault="00432D13" w:rsidP="00E20CE8">
      <w:pPr>
        <w:rPr>
          <w:rFonts w:cs="Times New Roman"/>
        </w:rPr>
      </w:pPr>
    </w:p>
    <w:p w14:paraId="0E41401B" w14:textId="77777777" w:rsidR="00BE2A50" w:rsidRPr="007D5B82" w:rsidRDefault="00BE2A50" w:rsidP="00220492">
      <w:pPr>
        <w:rPr>
          <w:b/>
        </w:rPr>
      </w:pPr>
    </w:p>
    <w:p w14:paraId="47A45B81" w14:textId="3D5DE547" w:rsidR="00220492" w:rsidRPr="007D5B82" w:rsidRDefault="005B1D62" w:rsidP="007E1C7B">
      <w:pPr>
        <w:outlineLvl w:val="0"/>
        <w:rPr>
          <w:b/>
          <w:u w:val="single"/>
        </w:rPr>
      </w:pPr>
      <w:r w:rsidRPr="007D5B82">
        <w:rPr>
          <w:b/>
        </w:rPr>
        <w:t>Who Let the Air Out?</w:t>
      </w:r>
    </w:p>
    <w:p w14:paraId="78450713" w14:textId="77777777" w:rsidR="00BE2A50" w:rsidRPr="007D5B82" w:rsidRDefault="00BE2A50" w:rsidP="005B41D4"/>
    <w:p w14:paraId="20C23ACE" w14:textId="45E85849" w:rsidR="0073285E" w:rsidRPr="007D5B82" w:rsidRDefault="001C4561" w:rsidP="005B41D4">
      <w:r w:rsidRPr="007D5B82">
        <w:t>On October 17, 1973, The Organization of Petroleum Exporting Countries (OPEC) made a dec</w:t>
      </w:r>
      <w:r w:rsidR="00370227" w:rsidRPr="007D5B82">
        <w:t>ision to decrease oil production and to significantly raise prices.</w:t>
      </w:r>
      <w:r w:rsidR="00370227" w:rsidRPr="007D5B82">
        <w:rPr>
          <w:rStyle w:val="EndnoteReference"/>
        </w:rPr>
        <w:endnoteReference w:id="74"/>
      </w:r>
      <w:r w:rsidR="00370227" w:rsidRPr="007D5B82">
        <w:t xml:space="preserve"> Over the next few months, the </w:t>
      </w:r>
      <w:r w:rsidR="0088323B">
        <w:t xml:space="preserve">oil barrel </w:t>
      </w:r>
      <w:r w:rsidR="00370227" w:rsidRPr="007D5B82">
        <w:t>price</w:t>
      </w:r>
      <w:r w:rsidR="0088323B">
        <w:t>s</w:t>
      </w:r>
      <w:r w:rsidR="00370227" w:rsidRPr="007D5B82">
        <w:t xml:space="preserve"> quadrupled, calling into question the reliance of western nations on an economically unstable and environmentally non-renewable resource</w:t>
      </w:r>
      <w:r w:rsidRPr="007D5B82">
        <w:t xml:space="preserve">. </w:t>
      </w:r>
      <w:r w:rsidR="005B41D4" w:rsidRPr="007D5B82">
        <w:t>T</w:t>
      </w:r>
      <w:r w:rsidR="0073285E" w:rsidRPr="007D5B82">
        <w:t>he oil crisis of 1973 positioned plastics, and hence pneumatics, not only</w:t>
      </w:r>
      <w:r w:rsidR="0088323B">
        <w:t xml:space="preserve"> in</w:t>
      </w:r>
      <w:r w:rsidR="0073285E" w:rsidRPr="007D5B82">
        <w:t xml:space="preserve"> </w:t>
      </w:r>
      <w:r w:rsidR="00EE2E7A" w:rsidRPr="007D5B82">
        <w:t>a precarious political, social</w:t>
      </w:r>
      <w:r w:rsidR="005B0AA2">
        <w:t>,</w:t>
      </w:r>
      <w:r w:rsidR="00EE2E7A" w:rsidRPr="007D5B82">
        <w:t xml:space="preserve"> </w:t>
      </w:r>
      <w:r w:rsidR="0073285E" w:rsidRPr="007D5B82">
        <w:t xml:space="preserve">and economic context, but </w:t>
      </w:r>
      <w:r w:rsidR="00C83CD2" w:rsidRPr="007D5B82">
        <w:t>also</w:t>
      </w:r>
      <w:r w:rsidR="0073285E" w:rsidRPr="007D5B82">
        <w:t xml:space="preserve"> raised questions about environmental ethics. </w:t>
      </w:r>
      <w:r w:rsidRPr="007D5B82">
        <w:t xml:space="preserve">According to </w:t>
      </w:r>
      <w:r w:rsidR="004B4996">
        <w:t xml:space="preserve">architect and author </w:t>
      </w:r>
      <w:r w:rsidRPr="007D5B82">
        <w:t xml:space="preserve">Simone </w:t>
      </w:r>
      <w:proofErr w:type="spellStart"/>
      <w:r w:rsidRPr="007D5B82">
        <w:t>Jeska</w:t>
      </w:r>
      <w:proofErr w:type="spellEnd"/>
      <w:r w:rsidRPr="007D5B82">
        <w:t xml:space="preserve">, </w:t>
      </w:r>
      <w:r w:rsidRPr="007D5B82">
        <w:rPr>
          <w:szCs w:val="20"/>
        </w:rPr>
        <w:t xml:space="preserve">“By the end of the 1970s at the </w:t>
      </w:r>
      <w:r w:rsidRPr="007D5B82">
        <w:rPr>
          <w:szCs w:val="20"/>
        </w:rPr>
        <w:lastRenderedPageBreak/>
        <w:t>very latest, plastics no longer represented progress and modernism, but instead were associated with the stigma of ugly, cheap materials, and they disappeared temporarily from the architectural landscape.”</w:t>
      </w:r>
      <w:r w:rsidRPr="007D5B82">
        <w:rPr>
          <w:rStyle w:val="EndnoteReference"/>
        </w:rPr>
        <w:endnoteReference w:id="75"/>
      </w:r>
      <w:r w:rsidRPr="007D5B82">
        <w:rPr>
          <w:szCs w:val="20"/>
        </w:rPr>
        <w:t xml:space="preserve"> </w:t>
      </w:r>
      <w:r w:rsidRPr="007D5B82">
        <w:t>T</w:t>
      </w:r>
      <w:r w:rsidR="0073285E" w:rsidRPr="007D5B82">
        <w:t>he conditions that allowed inflatable</w:t>
      </w:r>
      <w:r w:rsidRPr="007D5B82">
        <w:t>s</w:t>
      </w:r>
      <w:r w:rsidR="0073285E" w:rsidRPr="007D5B82">
        <w:t xml:space="preserve"> to flourish in the </w:t>
      </w:r>
      <w:r w:rsidR="005A3093">
        <w:t>19</w:t>
      </w:r>
      <w:r w:rsidR="0073285E" w:rsidRPr="007D5B82">
        <w:t xml:space="preserve">60s—namely, the rise of plastics, the lure of expendability, and the quest for alternative environments—were the same factors </w:t>
      </w:r>
      <w:r w:rsidR="00874A64" w:rsidRPr="007D5B82">
        <w:t>that</w:t>
      </w:r>
      <w:r w:rsidR="0073285E" w:rsidRPr="007D5B82">
        <w:t xml:space="preserve"> led to its demise in the </w:t>
      </w:r>
      <w:r w:rsidR="005A3093">
        <w:t>19</w:t>
      </w:r>
      <w:r w:rsidR="0073285E" w:rsidRPr="007D5B82">
        <w:t>70s. The</w:t>
      </w:r>
      <w:r w:rsidR="00DE1598">
        <w:t xml:space="preserve"> optimistic</w:t>
      </w:r>
      <w:r w:rsidR="0073285E" w:rsidRPr="007D5B82">
        <w:t xml:space="preserve"> rise and </w:t>
      </w:r>
      <w:r w:rsidR="00DE1598">
        <w:t xml:space="preserve">ironic </w:t>
      </w:r>
      <w:r w:rsidR="0073285E" w:rsidRPr="007D5B82">
        <w:t xml:space="preserve">fall of the pneumatic project </w:t>
      </w:r>
      <w:r w:rsidR="00874A64" w:rsidRPr="007D5B82">
        <w:t>involved factors far beyond the purview of any one individual or collective,</w:t>
      </w:r>
      <w:r w:rsidR="0073285E" w:rsidRPr="007D5B82">
        <w:t xml:space="preserve"> </w:t>
      </w:r>
      <w:r w:rsidR="00874A64" w:rsidRPr="007D5B82">
        <w:t>yet Chrysalis played an instrumental role in demonstrating the architectural values of plugging in and blowing up.</w:t>
      </w:r>
    </w:p>
    <w:p w14:paraId="27A855EB" w14:textId="77777777" w:rsidR="005B41D4" w:rsidRPr="007D5B82" w:rsidRDefault="005B41D4" w:rsidP="005B41D4"/>
    <w:p w14:paraId="68DF4433" w14:textId="7A81C419" w:rsidR="00142A0F" w:rsidRPr="007D5B82" w:rsidRDefault="00142A0F" w:rsidP="00142A0F">
      <w:pPr>
        <w:rPr>
          <w:szCs w:val="20"/>
        </w:rPr>
      </w:pPr>
      <w:r w:rsidRPr="007D5B82">
        <w:t xml:space="preserve">Chrysalis was steadfast in their commitment to </w:t>
      </w:r>
      <w:r w:rsidR="00801788">
        <w:t xml:space="preserve">the </w:t>
      </w:r>
      <w:r w:rsidRPr="007D5B82">
        <w:t>advanc</w:t>
      </w:r>
      <w:r w:rsidR="00801788">
        <w:t>ement</w:t>
      </w:r>
      <w:r w:rsidRPr="007D5B82">
        <w:t xml:space="preserve"> </w:t>
      </w:r>
      <w:r w:rsidR="00801788">
        <w:t>and</w:t>
      </w:r>
      <w:r w:rsidRPr="007D5B82">
        <w:t xml:space="preserve"> development of inflatables “beyond just an editorial.”</w:t>
      </w:r>
      <w:r w:rsidRPr="007D5B82">
        <w:rPr>
          <w:rStyle w:val="EndnoteReference"/>
          <w:szCs w:val="20"/>
        </w:rPr>
        <w:endnoteReference w:id="76"/>
      </w:r>
      <w:r w:rsidRPr="007D5B82">
        <w:t xml:space="preserve"> </w:t>
      </w:r>
      <w:r w:rsidRPr="007D5B82">
        <w:rPr>
          <w:szCs w:val="20"/>
        </w:rPr>
        <w:t>Self-described by Valerio as “a group of resources, applied to solve particular problems</w:t>
      </w:r>
      <w:r w:rsidR="004112A6">
        <w:rPr>
          <w:szCs w:val="20"/>
        </w:rPr>
        <w:t>.</w:t>
      </w:r>
      <w:r w:rsidRPr="007D5B82">
        <w:rPr>
          <w:szCs w:val="20"/>
        </w:rPr>
        <w:t xml:space="preserve">” </w:t>
      </w:r>
      <w:r w:rsidRPr="007D5B82">
        <w:t>Chrysalis produced well over a dozen projects dedicated to pushing the pneumatic envelope</w:t>
      </w:r>
      <w:r w:rsidR="004112A6">
        <w:t xml:space="preserve"> </w:t>
      </w:r>
      <w:r w:rsidR="004112A6" w:rsidRPr="007D5B82">
        <w:t>in the course of just a few years</w:t>
      </w:r>
      <w:r w:rsidRPr="007D5B82">
        <w:t>. Their experimental output was grounded in a fascination with environmental controls and building technology, allowing them to innovate air structures through multiple forms of architectural performance. According to Davies, “We learnt much about design and environmental engineering, not by conventional routes but by learning from practical experience, mock-ups, trial and error and experiment.”</w:t>
      </w:r>
      <w:r w:rsidRPr="007D5B82">
        <w:rPr>
          <w:rStyle w:val="EndnoteReference"/>
        </w:rPr>
        <w:endnoteReference w:id="77"/>
      </w:r>
      <w:r w:rsidRPr="007D5B82">
        <w:t xml:space="preserve"> </w:t>
      </w:r>
    </w:p>
    <w:p w14:paraId="344244AA" w14:textId="77777777" w:rsidR="00142A0F" w:rsidRPr="007D5B82" w:rsidRDefault="00142A0F" w:rsidP="005B41D4"/>
    <w:p w14:paraId="445C3564" w14:textId="7703F643" w:rsidR="00010A6E" w:rsidRPr="007D5B82" w:rsidRDefault="00AD7A91" w:rsidP="005B41D4">
      <w:r w:rsidRPr="007D5B82">
        <w:t>Although most historical narratives continue to re-write the rise</w:t>
      </w:r>
      <w:r w:rsidR="00C13BA6">
        <w:t>—yet</w:t>
      </w:r>
      <w:r w:rsidR="00C13BA6" w:rsidRPr="007D5B82">
        <w:t xml:space="preserve"> </w:t>
      </w:r>
      <w:r w:rsidRPr="007D5B82">
        <w:t>rarely</w:t>
      </w:r>
      <w:r w:rsidR="00C13BA6">
        <w:t xml:space="preserve"> the</w:t>
      </w:r>
      <w:r w:rsidRPr="007D5B82">
        <w:t xml:space="preserve"> fall</w:t>
      </w:r>
      <w:r w:rsidR="00C13BA6">
        <w:t>—</w:t>
      </w:r>
      <w:r w:rsidRPr="007D5B82">
        <w:t xml:space="preserve">of inflatables as a barely-there form of disciplinary propaganda fueled by rhetoric, representations and playful performance, Chrysalis deployed air structures as a means to pioneer new avenues for architectural experimentation and production. </w:t>
      </w:r>
      <w:r w:rsidR="00010A6E" w:rsidRPr="007D5B82">
        <w:t>Its members went west to seek new opportunities for material and structural experimentation, tapping into the wide</w:t>
      </w:r>
      <w:r w:rsidR="005B0AA2">
        <w:t xml:space="preserve"> </w:t>
      </w:r>
      <w:r w:rsidR="00010A6E" w:rsidRPr="007D5B82">
        <w:t>range of resources afforded by the greater Los Angeles area. Working with expe</w:t>
      </w:r>
      <w:r w:rsidR="00142A0F" w:rsidRPr="007D5B82">
        <w:t>rts in aerospace and Hollywood</w:t>
      </w:r>
      <w:r w:rsidR="00010A6E" w:rsidRPr="007D5B82">
        <w:t>, Chrysalis approached complex problems with a keen commitment to novel solutions. The rigor and precision they exercised suggests an alternative historiography of the rise and fall of the inflatable project—one that challenges the ‘trippy, cheap, light’ ethos propped up by the counterculture, and offers in its place a compelling case that pneumatics really were</w:t>
      </w:r>
      <w:r w:rsidR="0055721A">
        <w:t xml:space="preserve"> </w:t>
      </w:r>
      <w:r w:rsidR="00010A6E" w:rsidRPr="007D5B82">
        <w:t>viable alternatives to conventional buildings.</w:t>
      </w:r>
    </w:p>
    <w:p w14:paraId="61E30216" w14:textId="77777777" w:rsidR="00010A6E" w:rsidRPr="007D5B82" w:rsidRDefault="00010A6E" w:rsidP="005B41D4"/>
    <w:p w14:paraId="25BE24CC" w14:textId="7450B2D3" w:rsidR="00FE6046" w:rsidRPr="007D5B82" w:rsidRDefault="007E191F" w:rsidP="00FE6046">
      <w:r>
        <w:t>T</w:t>
      </w:r>
      <w:r w:rsidR="00CB62F1" w:rsidRPr="007D5B82">
        <w:t xml:space="preserve">heir </w:t>
      </w:r>
      <w:r w:rsidR="00142A0F" w:rsidRPr="007D5B82">
        <w:t xml:space="preserve">pneumatic </w:t>
      </w:r>
      <w:r w:rsidR="00CB62F1" w:rsidRPr="007D5B82">
        <w:t>output resonated with various forms of media, including star-stu</w:t>
      </w:r>
      <w:r w:rsidR="00AD7A91" w:rsidRPr="007D5B82">
        <w:t xml:space="preserve">dded films, fashion catalogues </w:t>
      </w:r>
      <w:r w:rsidR="00CB62F1" w:rsidRPr="007D5B82">
        <w:t xml:space="preserve">and </w:t>
      </w:r>
      <w:r w:rsidR="00CB62F1" w:rsidRPr="007D5B82">
        <w:rPr>
          <w:i/>
        </w:rPr>
        <w:t>Playboy</w:t>
      </w:r>
      <w:r w:rsidR="00CB62F1" w:rsidRPr="007D5B82">
        <w:t xml:space="preserve"> magazine, </w:t>
      </w:r>
      <w:r>
        <w:t xml:space="preserve">yet </w:t>
      </w:r>
      <w:r w:rsidR="00142A0F" w:rsidRPr="007D5B82">
        <w:t xml:space="preserve">for Chrysalis, the project was never about inflatables per se. </w:t>
      </w:r>
      <w:r w:rsidR="00FE6046" w:rsidRPr="007D5B82">
        <w:t>Once they</w:t>
      </w:r>
      <w:r>
        <w:t xml:space="preserve">, </w:t>
      </w:r>
      <w:r w:rsidR="00FE6046" w:rsidRPr="007D5B82">
        <w:t>namely Valerio</w:t>
      </w:r>
      <w:r>
        <w:t>,</w:t>
      </w:r>
      <w:r w:rsidR="00FE6046" w:rsidRPr="007D5B82">
        <w:t xml:space="preserve"> caught wind that plugging in plastics was deemed “bad” and no longer “rad,” they were complicit with letting the air out.</w:t>
      </w:r>
      <w:r w:rsidR="00FE6046" w:rsidRPr="007D5B82">
        <w:rPr>
          <w:rStyle w:val="EndnoteReference"/>
        </w:rPr>
        <w:endnoteReference w:id="78"/>
      </w:r>
      <w:r w:rsidR="00FE6046" w:rsidRPr="007D5B82">
        <w:t xml:space="preserve"> </w:t>
      </w:r>
      <w:r w:rsidR="00142A0F" w:rsidRPr="007D5B82">
        <w:t xml:space="preserve">According to Valerio, </w:t>
      </w:r>
      <w:r w:rsidR="00FA442A" w:rsidRPr="007D5B82">
        <w:t xml:space="preserve">who also </w:t>
      </w:r>
      <w:r>
        <w:t>worked</w:t>
      </w:r>
      <w:r w:rsidRPr="007D5B82">
        <w:t xml:space="preserve"> </w:t>
      </w:r>
      <w:r w:rsidR="00FA442A" w:rsidRPr="007D5B82">
        <w:t>extensively with tension structures at the time</w:t>
      </w:r>
      <w:r w:rsidR="001777DB">
        <w:t xml:space="preserve"> with</w:t>
      </w:r>
      <w:r w:rsidR="001777DB" w:rsidRPr="007D5B82">
        <w:t xml:space="preserve"> C.O.W.</w:t>
      </w:r>
      <w:r w:rsidR="00FA442A" w:rsidRPr="007D5B82">
        <w:t>, it was always about lightweight demountable structures that could be used over and over again. He adds, “Experimental structures were a way to explore a di</w:t>
      </w:r>
      <w:r w:rsidR="00FE6046" w:rsidRPr="007D5B82">
        <w:t xml:space="preserve">fferent approach </w:t>
      </w:r>
      <w:r w:rsidR="00FE6046" w:rsidRPr="007D5B82">
        <w:lastRenderedPageBreak/>
        <w:t xml:space="preserve">to building.” In the end, their decision to pull the plug was not predicated on a subjective or aesthetic agenda, but rather a moral </w:t>
      </w:r>
      <w:r w:rsidR="004B2FE1">
        <w:t xml:space="preserve">and </w:t>
      </w:r>
      <w:r w:rsidR="00FE6046" w:rsidRPr="007D5B82">
        <w:t xml:space="preserve">ethical decision that the pneumatic project was inextricably reliant on petroleum-based products, and no longer captured the ethos of an </w:t>
      </w:r>
      <w:r w:rsidR="004B2FE1" w:rsidRPr="007D5B82">
        <w:t>environmentally minded</w:t>
      </w:r>
      <w:r w:rsidR="00FE6046" w:rsidRPr="007D5B82">
        <w:t xml:space="preserve"> generation. </w:t>
      </w:r>
    </w:p>
    <w:p w14:paraId="46CF0BF4" w14:textId="77777777" w:rsidR="00FE6046" w:rsidRPr="007D5B82" w:rsidRDefault="00FE6046" w:rsidP="00FE6046"/>
    <w:p w14:paraId="672A1955" w14:textId="77777777" w:rsidR="002E723B" w:rsidRDefault="002E723B" w:rsidP="002E723B">
      <w:pPr>
        <w:spacing w:line="240" w:lineRule="auto"/>
        <w:outlineLvl w:val="0"/>
        <w:rPr>
          <w:szCs w:val="20"/>
        </w:rPr>
      </w:pPr>
    </w:p>
    <w:p w14:paraId="551ACFFB" w14:textId="77777777" w:rsidR="002E723B" w:rsidRDefault="002E723B" w:rsidP="002E723B">
      <w:pPr>
        <w:spacing w:line="240" w:lineRule="auto"/>
        <w:outlineLvl w:val="0"/>
        <w:rPr>
          <w:szCs w:val="20"/>
        </w:rPr>
      </w:pPr>
    </w:p>
    <w:p w14:paraId="00A9C4ED" w14:textId="77777777" w:rsidR="002E723B" w:rsidRDefault="002E723B" w:rsidP="002E723B">
      <w:pPr>
        <w:spacing w:line="240" w:lineRule="auto"/>
        <w:outlineLvl w:val="0"/>
        <w:rPr>
          <w:szCs w:val="20"/>
        </w:rPr>
      </w:pPr>
    </w:p>
    <w:p w14:paraId="41C1E098" w14:textId="77777777" w:rsidR="002E723B" w:rsidRDefault="002E723B" w:rsidP="002E723B">
      <w:pPr>
        <w:spacing w:line="240" w:lineRule="auto"/>
        <w:outlineLvl w:val="0"/>
        <w:rPr>
          <w:szCs w:val="20"/>
        </w:rPr>
      </w:pPr>
      <w:r>
        <w:rPr>
          <w:szCs w:val="20"/>
        </w:rPr>
        <w:t>ACKNOWLEDGEMENTS</w:t>
      </w:r>
    </w:p>
    <w:p w14:paraId="0BF46B6D" w14:textId="77777777" w:rsidR="002E723B" w:rsidRDefault="002E723B" w:rsidP="002E723B">
      <w:pPr>
        <w:spacing w:line="240" w:lineRule="auto"/>
        <w:outlineLvl w:val="0"/>
        <w:rPr>
          <w:szCs w:val="20"/>
        </w:rPr>
      </w:pPr>
    </w:p>
    <w:p w14:paraId="264B596E" w14:textId="77777777" w:rsidR="002E723B" w:rsidRDefault="002E723B" w:rsidP="002E723B">
      <w:pPr>
        <w:spacing w:line="240" w:lineRule="auto"/>
        <w:outlineLvl w:val="0"/>
        <w:rPr>
          <w:szCs w:val="20"/>
        </w:rPr>
      </w:pPr>
      <w:r>
        <w:rPr>
          <w:szCs w:val="20"/>
        </w:rPr>
        <w:t xml:space="preserve">The author would like to thank Chicago-based architect Joe Valerio for his time and generosity in providing indispensable information and unfettered access to the early works of Chrysalis. </w:t>
      </w:r>
    </w:p>
    <w:p w14:paraId="7A69F0C7" w14:textId="7FEB760D" w:rsidR="004F43BF" w:rsidRDefault="00FE6046" w:rsidP="004F43BF">
      <w:pPr>
        <w:spacing w:line="240" w:lineRule="auto"/>
        <w:outlineLvl w:val="0"/>
        <w:rPr>
          <w:szCs w:val="20"/>
        </w:rPr>
      </w:pPr>
      <w:r w:rsidRPr="007D5B82">
        <w:rPr>
          <w:rFonts w:cs="Times New Roman"/>
        </w:rPr>
        <w:br w:type="column"/>
      </w:r>
      <w:bookmarkStart w:id="0" w:name="_GoBack"/>
      <w:bookmarkEnd w:id="0"/>
    </w:p>
    <w:p w14:paraId="3FFD59CE" w14:textId="42DA7E53" w:rsidR="00DF7CB4" w:rsidRDefault="00DF7CB4" w:rsidP="007E1C7B">
      <w:pPr>
        <w:spacing w:line="240" w:lineRule="auto"/>
        <w:outlineLvl w:val="0"/>
        <w:rPr>
          <w:szCs w:val="20"/>
        </w:rPr>
      </w:pPr>
    </w:p>
    <w:p w14:paraId="26E4934A" w14:textId="5E82CA53" w:rsidR="00561F84" w:rsidRPr="007D5B82" w:rsidRDefault="00707ABF" w:rsidP="007E1C7B">
      <w:pPr>
        <w:spacing w:line="240" w:lineRule="auto"/>
        <w:outlineLvl w:val="0"/>
        <w:rPr>
          <w:sz w:val="18"/>
          <w:szCs w:val="18"/>
        </w:rPr>
      </w:pPr>
      <w:r w:rsidRPr="007D5B82">
        <w:rPr>
          <w:szCs w:val="20"/>
        </w:rPr>
        <w:t>NOTES</w:t>
      </w:r>
    </w:p>
    <w:sectPr w:rsidR="00561F84" w:rsidRPr="007D5B82" w:rsidSect="008E7FDD">
      <w:headerReference w:type="default" r:id="rId7"/>
      <w:footerReference w:type="even" r:id="rId8"/>
      <w:footerReference w:type="default" r:id="rId9"/>
      <w:endnotePr>
        <w:numFmt w:val="decimal"/>
      </w:endnotePr>
      <w:pgSz w:w="12240" w:h="15840"/>
      <w:pgMar w:top="180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E9111" w14:textId="77777777" w:rsidR="003E3D79" w:rsidRDefault="003E3D79" w:rsidP="00B03607">
      <w:r>
        <w:separator/>
      </w:r>
    </w:p>
  </w:endnote>
  <w:endnote w:type="continuationSeparator" w:id="0">
    <w:p w14:paraId="216DB8AB" w14:textId="77777777" w:rsidR="003E3D79" w:rsidRDefault="003E3D79" w:rsidP="00B03607">
      <w:r>
        <w:continuationSeparator/>
      </w:r>
    </w:p>
  </w:endnote>
  <w:endnote w:id="1">
    <w:p w14:paraId="4233AF97" w14:textId="50E61EB4" w:rsidR="00A56ABB" w:rsidRPr="00105BB0" w:rsidRDefault="00A56ABB" w:rsidP="00FE6046">
      <w:pPr>
        <w:spacing w:line="240" w:lineRule="auto"/>
        <w:rPr>
          <w:sz w:val="18"/>
          <w:szCs w:val="18"/>
        </w:rPr>
      </w:pPr>
      <w:r w:rsidRPr="00105BB0">
        <w:rPr>
          <w:rStyle w:val="EndnoteReference"/>
          <w:sz w:val="18"/>
          <w:szCs w:val="18"/>
        </w:rPr>
        <w:endnoteRef/>
      </w:r>
      <w:r w:rsidRPr="00105BB0">
        <w:rPr>
          <w:sz w:val="18"/>
          <w:szCs w:val="18"/>
        </w:rPr>
        <w:t xml:space="preserve"> According to the </w:t>
      </w:r>
      <w:r w:rsidRPr="00105BB0">
        <w:rPr>
          <w:i/>
          <w:sz w:val="18"/>
          <w:szCs w:val="18"/>
        </w:rPr>
        <w:t xml:space="preserve">Expo ’70 official guide, </w:t>
      </w:r>
      <w:r>
        <w:rPr>
          <w:sz w:val="18"/>
          <w:szCs w:val="18"/>
        </w:rPr>
        <w:t>the United States Pavilion</w:t>
      </w:r>
      <w:r w:rsidRPr="00105BB0">
        <w:rPr>
          <w:sz w:val="18"/>
          <w:szCs w:val="18"/>
        </w:rPr>
        <w:t xml:space="preserve"> featured an “elliptical translucent domed roof” and was, at the time of its completion, “the largest and lightest clear span, air supported roof ever built.” Similarly, the Fuji Group Pavilion was “the world’s largest pneumatic structure” to date. For a comprehensive overview of the 1970 Osaka Expo, see</w:t>
      </w:r>
      <w:r w:rsidRPr="00105BB0">
        <w:rPr>
          <w:rFonts w:eastAsia="Times New Roman" w:cs="Times New Roman"/>
          <w:sz w:val="18"/>
          <w:szCs w:val="18"/>
        </w:rPr>
        <w:t xml:space="preserve"> </w:t>
      </w:r>
      <w:r w:rsidRPr="00105BB0">
        <w:rPr>
          <w:i/>
          <w:sz w:val="18"/>
          <w:szCs w:val="18"/>
        </w:rPr>
        <w:t xml:space="preserve">Expo ’70 official guide </w:t>
      </w:r>
      <w:r w:rsidRPr="00105BB0">
        <w:rPr>
          <w:sz w:val="18"/>
          <w:szCs w:val="18"/>
        </w:rPr>
        <w:t>(Osaka: Japan Association, 1970) 57 &amp; 191.</w:t>
      </w:r>
    </w:p>
    <w:p w14:paraId="12070E38" w14:textId="53E41676" w:rsidR="00A56ABB" w:rsidRPr="00105BB0" w:rsidRDefault="00A56ABB" w:rsidP="00FE6046">
      <w:pPr>
        <w:pStyle w:val="EndnoteText"/>
        <w:spacing w:line="240" w:lineRule="auto"/>
        <w:rPr>
          <w:sz w:val="18"/>
          <w:szCs w:val="18"/>
        </w:rPr>
      </w:pPr>
      <w:r w:rsidRPr="00105BB0">
        <w:rPr>
          <w:i/>
          <w:sz w:val="18"/>
          <w:szCs w:val="18"/>
        </w:rPr>
        <w:t xml:space="preserve"> </w:t>
      </w:r>
      <w:r w:rsidRPr="00105BB0">
        <w:rPr>
          <w:sz w:val="18"/>
          <w:szCs w:val="18"/>
        </w:rPr>
        <w:t xml:space="preserve"> </w:t>
      </w:r>
    </w:p>
  </w:endnote>
  <w:endnote w:id="2">
    <w:p w14:paraId="6F133738" w14:textId="3C8785BF" w:rsidR="00A56ABB" w:rsidRPr="00105BB0" w:rsidRDefault="00A56ABB" w:rsidP="00FE604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Davies, Stanton and Dawson met at the A</w:t>
      </w:r>
      <w:r>
        <w:rPr>
          <w:sz w:val="18"/>
          <w:szCs w:val="18"/>
        </w:rPr>
        <w:t>rchitectural Association</w:t>
      </w:r>
      <w:r w:rsidRPr="00105BB0">
        <w:rPr>
          <w:sz w:val="18"/>
          <w:szCs w:val="18"/>
        </w:rPr>
        <w:t xml:space="preserve"> in London, where they studied under Ron Herron of </w:t>
      </w:r>
      <w:proofErr w:type="spellStart"/>
      <w:r w:rsidRPr="00105BB0">
        <w:rPr>
          <w:sz w:val="18"/>
          <w:szCs w:val="18"/>
        </w:rPr>
        <w:t>Archigram</w:t>
      </w:r>
      <w:proofErr w:type="spellEnd"/>
      <w:r w:rsidRPr="00105BB0">
        <w:rPr>
          <w:sz w:val="18"/>
          <w:szCs w:val="18"/>
        </w:rPr>
        <w:t xml:space="preserve">. Upon graduating, the three received scholarships to UCLA, and headed west. See Mike Davies, “Exploring, rehearsing, delivering” in </w:t>
      </w:r>
      <w:r w:rsidRPr="00105BB0">
        <w:rPr>
          <w:i/>
          <w:sz w:val="18"/>
          <w:szCs w:val="18"/>
        </w:rPr>
        <w:t xml:space="preserve">Innovation in Architecture, </w:t>
      </w:r>
      <w:r w:rsidRPr="00105BB0">
        <w:rPr>
          <w:sz w:val="18"/>
          <w:szCs w:val="18"/>
        </w:rPr>
        <w:t xml:space="preserve">Edited by Alan J. Brookes and Dominique Poole (London/New York: </w:t>
      </w:r>
      <w:proofErr w:type="spellStart"/>
      <w:r w:rsidRPr="00105BB0">
        <w:rPr>
          <w:sz w:val="18"/>
          <w:szCs w:val="18"/>
        </w:rPr>
        <w:t>Spon</w:t>
      </w:r>
      <w:proofErr w:type="spellEnd"/>
      <w:r w:rsidRPr="00105BB0">
        <w:rPr>
          <w:sz w:val="18"/>
          <w:szCs w:val="18"/>
        </w:rPr>
        <w:t xml:space="preserve"> Press, 2004) 15-28.</w:t>
      </w:r>
    </w:p>
    <w:p w14:paraId="4F3A4F23" w14:textId="77777777" w:rsidR="00A56ABB" w:rsidRPr="00105BB0" w:rsidRDefault="00A56ABB" w:rsidP="00FE6046">
      <w:pPr>
        <w:pStyle w:val="EndnoteText"/>
        <w:spacing w:line="240" w:lineRule="auto"/>
        <w:contextualSpacing/>
        <w:rPr>
          <w:sz w:val="18"/>
          <w:szCs w:val="18"/>
        </w:rPr>
      </w:pPr>
    </w:p>
  </w:endnote>
  <w:endnote w:id="3">
    <w:p w14:paraId="23ECF5D5" w14:textId="77777777" w:rsidR="00A56ABB" w:rsidRPr="00105BB0" w:rsidRDefault="00A56ABB" w:rsidP="0006671C">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According to Davies, “[We] promptly headed for the desert in California to try out our crazy inflatable structures, which we were building and experimenting with at the time.” Davies, “Exploring, rehearsing, delivering” in </w:t>
      </w:r>
      <w:r w:rsidRPr="00105BB0">
        <w:rPr>
          <w:i/>
          <w:sz w:val="18"/>
          <w:szCs w:val="18"/>
        </w:rPr>
        <w:t xml:space="preserve">Innovation in Architecture, </w:t>
      </w:r>
      <w:r w:rsidRPr="00105BB0">
        <w:rPr>
          <w:sz w:val="18"/>
          <w:szCs w:val="18"/>
        </w:rPr>
        <w:t>19.</w:t>
      </w:r>
    </w:p>
    <w:p w14:paraId="549FB9A1" w14:textId="77777777" w:rsidR="00A56ABB" w:rsidRPr="00105BB0" w:rsidRDefault="00A56ABB" w:rsidP="0006671C">
      <w:pPr>
        <w:pStyle w:val="EndnoteText"/>
        <w:spacing w:line="240" w:lineRule="auto"/>
        <w:contextualSpacing/>
        <w:rPr>
          <w:sz w:val="18"/>
          <w:szCs w:val="18"/>
        </w:rPr>
      </w:pPr>
    </w:p>
  </w:endnote>
  <w:endnote w:id="4">
    <w:p w14:paraId="5F5F5390" w14:textId="77777777" w:rsidR="00A56ABB" w:rsidRPr="00105BB0" w:rsidRDefault="00A56ABB" w:rsidP="0077027A">
      <w:pPr>
        <w:pStyle w:val="Footnote"/>
        <w:rPr>
          <w:color w:val="auto"/>
        </w:rPr>
      </w:pPr>
      <w:r w:rsidRPr="00105BB0">
        <w:rPr>
          <w:rStyle w:val="EndnoteReference"/>
          <w:color w:val="auto"/>
        </w:rPr>
        <w:endnoteRef/>
      </w:r>
      <w:r w:rsidRPr="00105BB0">
        <w:rPr>
          <w:color w:val="auto"/>
        </w:rPr>
        <w:t xml:space="preserve"> As noted in </w:t>
      </w:r>
      <w:r w:rsidRPr="00105BB0">
        <w:rPr>
          <w:i/>
          <w:color w:val="auto"/>
        </w:rPr>
        <w:t xml:space="preserve">Joe Valerio: Valerio </w:t>
      </w:r>
      <w:proofErr w:type="spellStart"/>
      <w:r w:rsidRPr="00105BB0">
        <w:rPr>
          <w:i/>
          <w:color w:val="auto"/>
        </w:rPr>
        <w:t>Dewalt</w:t>
      </w:r>
      <w:proofErr w:type="spellEnd"/>
      <w:r w:rsidRPr="00105BB0">
        <w:rPr>
          <w:i/>
          <w:color w:val="auto"/>
        </w:rPr>
        <w:t xml:space="preserve"> Train</w:t>
      </w:r>
      <w:r w:rsidRPr="00105BB0">
        <w:rPr>
          <w:color w:val="auto"/>
        </w:rPr>
        <w:t xml:space="preserve">, “The firm focused on interdisciplinary design approaches teaming architects, artists, and scientists.” See Joseph M. Valerio, </w:t>
      </w:r>
      <w:r w:rsidRPr="00105BB0">
        <w:rPr>
          <w:i/>
          <w:color w:val="auto"/>
        </w:rPr>
        <w:t xml:space="preserve">Joe Valerio: Valerio </w:t>
      </w:r>
      <w:proofErr w:type="spellStart"/>
      <w:r w:rsidRPr="00105BB0">
        <w:rPr>
          <w:i/>
          <w:color w:val="auto"/>
        </w:rPr>
        <w:t>Dewalt</w:t>
      </w:r>
      <w:proofErr w:type="spellEnd"/>
      <w:r w:rsidRPr="00105BB0">
        <w:rPr>
          <w:i/>
          <w:color w:val="auto"/>
        </w:rPr>
        <w:t xml:space="preserve"> Train</w:t>
      </w:r>
      <w:r w:rsidRPr="00105BB0">
        <w:rPr>
          <w:color w:val="auto"/>
        </w:rPr>
        <w:t xml:space="preserve"> (New York: Rizzoli International, 1999) 152.</w:t>
      </w:r>
    </w:p>
    <w:p w14:paraId="6715A329" w14:textId="77777777" w:rsidR="00A56ABB" w:rsidRPr="00105BB0" w:rsidRDefault="00A56ABB" w:rsidP="0077027A">
      <w:pPr>
        <w:pStyle w:val="FootnoteText"/>
        <w:spacing w:line="240" w:lineRule="auto"/>
        <w:rPr>
          <w:sz w:val="18"/>
          <w:szCs w:val="18"/>
        </w:rPr>
      </w:pPr>
    </w:p>
  </w:endnote>
  <w:endnote w:id="5">
    <w:p w14:paraId="7998BA82" w14:textId="1DDB7C19" w:rsidR="00A56ABB" w:rsidRPr="00105BB0" w:rsidRDefault="00A56ABB" w:rsidP="004F4960">
      <w:pPr>
        <w:pStyle w:val="EndnoteText"/>
        <w:spacing w:line="240" w:lineRule="auto"/>
        <w:rPr>
          <w:sz w:val="18"/>
          <w:szCs w:val="18"/>
        </w:rPr>
      </w:pPr>
      <w:r w:rsidRPr="00105BB0">
        <w:rPr>
          <w:rStyle w:val="EndnoteReference"/>
          <w:sz w:val="18"/>
          <w:szCs w:val="18"/>
        </w:rPr>
        <w:endnoteRef/>
      </w:r>
      <w:r w:rsidRPr="00105BB0">
        <w:rPr>
          <w:sz w:val="18"/>
          <w:szCs w:val="18"/>
        </w:rPr>
        <w:t xml:space="preserve"> “Counterculture” is a complex and loaded term typically attributed to the rise of anti-establishment thinking by a politically and socially left-leaning youth, beginning in the 1960s. For a comprehensive examination of the term, see Theodore </w:t>
      </w:r>
      <w:proofErr w:type="spellStart"/>
      <w:r w:rsidRPr="00105BB0">
        <w:rPr>
          <w:sz w:val="18"/>
          <w:szCs w:val="18"/>
        </w:rPr>
        <w:t>Roszak</w:t>
      </w:r>
      <w:proofErr w:type="spellEnd"/>
      <w:r w:rsidRPr="00105BB0">
        <w:rPr>
          <w:sz w:val="18"/>
          <w:szCs w:val="18"/>
        </w:rPr>
        <w:t xml:space="preserve">, </w:t>
      </w:r>
      <w:r w:rsidRPr="00105BB0">
        <w:rPr>
          <w:i/>
          <w:sz w:val="18"/>
          <w:szCs w:val="18"/>
        </w:rPr>
        <w:t xml:space="preserve">The Making of a Counter Culture: Reflections on the Technocratic Society and Its Youthful Opposition </w:t>
      </w:r>
      <w:r w:rsidRPr="00105BB0">
        <w:rPr>
          <w:sz w:val="18"/>
          <w:szCs w:val="18"/>
        </w:rPr>
        <w:t>(New York: Doubleday &amp; Company, 1968).</w:t>
      </w:r>
      <w:r w:rsidRPr="00105BB0">
        <w:rPr>
          <w:i/>
          <w:sz w:val="18"/>
          <w:szCs w:val="18"/>
        </w:rPr>
        <w:t xml:space="preserve"> </w:t>
      </w:r>
      <w:r w:rsidRPr="00105BB0">
        <w:rPr>
          <w:sz w:val="18"/>
          <w:szCs w:val="18"/>
        </w:rPr>
        <w:t xml:space="preserve">For further reading on the emergence of the artistic and architectural counterculture during the 1960s and </w:t>
      </w:r>
      <w:r>
        <w:rPr>
          <w:sz w:val="18"/>
          <w:szCs w:val="18"/>
        </w:rPr>
        <w:t>19</w:t>
      </w:r>
      <w:r w:rsidRPr="00105BB0">
        <w:rPr>
          <w:sz w:val="18"/>
          <w:szCs w:val="18"/>
        </w:rPr>
        <w:t xml:space="preserve">70s, see Elissa </w:t>
      </w:r>
      <w:proofErr w:type="spellStart"/>
      <w:r w:rsidRPr="00105BB0">
        <w:rPr>
          <w:sz w:val="18"/>
          <w:szCs w:val="18"/>
        </w:rPr>
        <w:t>Auther</w:t>
      </w:r>
      <w:proofErr w:type="spellEnd"/>
      <w:r w:rsidRPr="00105BB0">
        <w:rPr>
          <w:sz w:val="18"/>
          <w:szCs w:val="18"/>
        </w:rPr>
        <w:t xml:space="preserve"> and Adam Lerner, eds. </w:t>
      </w:r>
      <w:r w:rsidRPr="00105BB0">
        <w:rPr>
          <w:i/>
          <w:sz w:val="18"/>
          <w:szCs w:val="18"/>
        </w:rPr>
        <w:t xml:space="preserve">West of Center: Art and the Counterculture Experiment in America, 1965-77 </w:t>
      </w:r>
      <w:r w:rsidRPr="00105BB0">
        <w:rPr>
          <w:sz w:val="18"/>
          <w:szCs w:val="18"/>
        </w:rPr>
        <w:t xml:space="preserve">(Minneapolis: University of Minnesota Press, 2012; Caroline </w:t>
      </w:r>
      <w:proofErr w:type="spellStart"/>
      <w:r w:rsidRPr="00105BB0">
        <w:rPr>
          <w:sz w:val="18"/>
          <w:szCs w:val="18"/>
        </w:rPr>
        <w:t>Maniaque</w:t>
      </w:r>
      <w:proofErr w:type="spellEnd"/>
      <w:r w:rsidRPr="00105BB0">
        <w:rPr>
          <w:sz w:val="18"/>
          <w:szCs w:val="18"/>
        </w:rPr>
        <w:t xml:space="preserve">-Benton, </w:t>
      </w:r>
      <w:r w:rsidRPr="00105BB0">
        <w:rPr>
          <w:i/>
          <w:sz w:val="18"/>
          <w:szCs w:val="18"/>
        </w:rPr>
        <w:t xml:space="preserve">French Encounters with the American Counterculture 1960-1980 </w:t>
      </w:r>
      <w:r w:rsidRPr="00105BB0">
        <w:rPr>
          <w:sz w:val="18"/>
          <w:szCs w:val="18"/>
        </w:rPr>
        <w:t xml:space="preserve">(Surrey, England/Burlington, VT: </w:t>
      </w:r>
      <w:proofErr w:type="spellStart"/>
      <w:r w:rsidRPr="00105BB0">
        <w:rPr>
          <w:sz w:val="18"/>
          <w:szCs w:val="18"/>
        </w:rPr>
        <w:t>Ashgate</w:t>
      </w:r>
      <w:proofErr w:type="spellEnd"/>
      <w:r w:rsidRPr="00105BB0">
        <w:rPr>
          <w:sz w:val="18"/>
          <w:szCs w:val="18"/>
        </w:rPr>
        <w:t xml:space="preserve"> Publishing, 2011); Fred Turner, </w:t>
      </w:r>
      <w:r w:rsidRPr="00105BB0">
        <w:rPr>
          <w:i/>
          <w:sz w:val="18"/>
          <w:szCs w:val="18"/>
        </w:rPr>
        <w:t xml:space="preserve">From Counterculture to </w:t>
      </w:r>
      <w:proofErr w:type="spellStart"/>
      <w:r w:rsidRPr="00105BB0">
        <w:rPr>
          <w:i/>
          <w:sz w:val="18"/>
          <w:szCs w:val="18"/>
        </w:rPr>
        <w:t>Cyberculture</w:t>
      </w:r>
      <w:proofErr w:type="spellEnd"/>
      <w:r w:rsidRPr="00105BB0">
        <w:rPr>
          <w:i/>
          <w:sz w:val="18"/>
          <w:szCs w:val="18"/>
        </w:rPr>
        <w:t xml:space="preserve">: Stewart Brand, the Whole Earth Network, and the Rise of Digital Utopianism </w:t>
      </w:r>
      <w:r w:rsidRPr="00105BB0">
        <w:rPr>
          <w:sz w:val="18"/>
          <w:szCs w:val="18"/>
        </w:rPr>
        <w:t xml:space="preserve">(Chicago/London: University of Chicago Press, 2006); and Andrew Blauvelt, ed., </w:t>
      </w:r>
      <w:r w:rsidRPr="00105BB0">
        <w:rPr>
          <w:i/>
          <w:sz w:val="18"/>
          <w:szCs w:val="18"/>
        </w:rPr>
        <w:t xml:space="preserve">Hippie Modernism: The Struggle for Utopia </w:t>
      </w:r>
      <w:r w:rsidRPr="00105BB0">
        <w:rPr>
          <w:sz w:val="18"/>
          <w:szCs w:val="18"/>
        </w:rPr>
        <w:t>(Minneapolis: Walker Art Center, 2015).</w:t>
      </w:r>
    </w:p>
    <w:p w14:paraId="7337FD3E" w14:textId="77777777" w:rsidR="00A56ABB" w:rsidRPr="00105BB0" w:rsidRDefault="00A56ABB" w:rsidP="004F4960">
      <w:pPr>
        <w:pStyle w:val="EndnoteText"/>
        <w:spacing w:line="240" w:lineRule="auto"/>
        <w:rPr>
          <w:i/>
          <w:sz w:val="18"/>
          <w:szCs w:val="18"/>
        </w:rPr>
      </w:pPr>
    </w:p>
  </w:endnote>
  <w:endnote w:id="6">
    <w:p w14:paraId="00A5D03B" w14:textId="2ACFD21E" w:rsidR="00A56ABB" w:rsidRPr="00DF4530" w:rsidRDefault="00A56ABB" w:rsidP="00C06866">
      <w:pPr>
        <w:spacing w:line="240" w:lineRule="auto"/>
        <w:rPr>
          <w:rFonts w:eastAsia="Times New Roman" w:cs="Times New Roman"/>
          <w:sz w:val="18"/>
          <w:szCs w:val="18"/>
          <w:lang w:eastAsia="en-US"/>
        </w:rPr>
      </w:pPr>
      <w:r w:rsidRPr="002D3A89">
        <w:rPr>
          <w:rStyle w:val="EndnoteReference"/>
        </w:rPr>
        <w:endnoteRef/>
      </w:r>
      <w:r w:rsidRPr="002D3A89">
        <w:t xml:space="preserve"> </w:t>
      </w:r>
      <w:r w:rsidRPr="002D3A89">
        <w:rPr>
          <w:sz w:val="18"/>
          <w:szCs w:val="18"/>
        </w:rPr>
        <w:t xml:space="preserve">R. </w:t>
      </w:r>
      <w:r w:rsidRPr="003D659A">
        <w:rPr>
          <w:sz w:val="18"/>
          <w:szCs w:val="18"/>
        </w:rPr>
        <w:t>Buckminster Fuller coined the term “</w:t>
      </w:r>
      <w:proofErr w:type="spellStart"/>
      <w:r w:rsidRPr="003D659A">
        <w:rPr>
          <w:sz w:val="18"/>
          <w:szCs w:val="18"/>
        </w:rPr>
        <w:t>ephemeralization</w:t>
      </w:r>
      <w:proofErr w:type="spellEnd"/>
      <w:r w:rsidRPr="003D659A">
        <w:rPr>
          <w:sz w:val="18"/>
          <w:szCs w:val="18"/>
        </w:rPr>
        <w:t xml:space="preserve">” </w:t>
      </w:r>
      <w:r w:rsidRPr="002D3A89">
        <w:rPr>
          <w:sz w:val="18"/>
          <w:szCs w:val="18"/>
        </w:rPr>
        <w:t xml:space="preserve">in 1938. A proponent of technology and advocate for </w:t>
      </w:r>
      <w:r w:rsidRPr="000E6503">
        <w:rPr>
          <w:sz w:val="18"/>
          <w:szCs w:val="18"/>
        </w:rPr>
        <w:t xml:space="preserve">resource conservation (i.e., material, time and energy), Fuller’s aim was to </w:t>
      </w:r>
      <w:r w:rsidRPr="000E6503">
        <w:rPr>
          <w:rFonts w:eastAsia="Times New Roman" w:cs="Times New Roman"/>
          <w:color w:val="000000"/>
          <w:sz w:val="18"/>
          <w:szCs w:val="18"/>
          <w:lang w:eastAsia="en-US"/>
        </w:rPr>
        <w:t>do "more and more with less and less until eventually you can do everything with nothing."</w:t>
      </w:r>
      <w:r w:rsidRPr="00A735C1">
        <w:rPr>
          <w:rFonts w:eastAsia="Times New Roman" w:cs="Times New Roman"/>
          <w:color w:val="000000"/>
          <w:sz w:val="18"/>
          <w:szCs w:val="18"/>
          <w:lang w:eastAsia="en-US"/>
        </w:rPr>
        <w:t xml:space="preserve"> See</w:t>
      </w:r>
      <w:r w:rsidRPr="00A735C1">
        <w:rPr>
          <w:rFonts w:ascii="Times" w:eastAsia="Times New Roman" w:hAnsi="Times" w:cs="Times New Roman"/>
          <w:szCs w:val="20"/>
          <w:lang w:eastAsia="en-US"/>
        </w:rPr>
        <w:t xml:space="preserve"> </w:t>
      </w:r>
      <w:r w:rsidRPr="00A735C1">
        <w:rPr>
          <w:rFonts w:eastAsia="Times New Roman" w:cs="Times New Roman"/>
          <w:color w:val="000000"/>
          <w:sz w:val="18"/>
          <w:szCs w:val="18"/>
          <w:lang w:eastAsia="en-US"/>
        </w:rPr>
        <w:t>R. Buckminster Fuller, </w:t>
      </w:r>
      <w:r w:rsidRPr="00A735C1">
        <w:rPr>
          <w:rFonts w:eastAsia="Times New Roman" w:cs="Times New Roman"/>
          <w:i/>
          <w:iCs/>
          <w:color w:val="000000"/>
          <w:sz w:val="18"/>
          <w:szCs w:val="18"/>
          <w:lang w:eastAsia="en-US"/>
        </w:rPr>
        <w:t>Nine Chains to the Moon</w:t>
      </w:r>
      <w:r w:rsidRPr="00A735C1">
        <w:rPr>
          <w:rFonts w:eastAsia="Times New Roman" w:cs="Times New Roman"/>
          <w:color w:val="000000"/>
          <w:sz w:val="18"/>
          <w:szCs w:val="18"/>
          <w:lang w:eastAsia="en-US"/>
        </w:rPr>
        <w:t>, (Anchor Books [1938] 1971): 252–59.</w:t>
      </w:r>
      <w:r>
        <w:rPr>
          <w:rFonts w:eastAsia="Times New Roman" w:cs="Times New Roman"/>
          <w:color w:val="000000"/>
          <w:sz w:val="18"/>
          <w:szCs w:val="18"/>
          <w:lang w:eastAsia="en-US"/>
        </w:rPr>
        <w:t xml:space="preserve"> For additional reading on Fuller’s concept of “</w:t>
      </w:r>
      <w:proofErr w:type="spellStart"/>
      <w:r>
        <w:rPr>
          <w:rFonts w:eastAsia="Times New Roman" w:cs="Times New Roman"/>
          <w:color w:val="000000"/>
          <w:sz w:val="18"/>
          <w:szCs w:val="18"/>
          <w:lang w:eastAsia="en-US"/>
        </w:rPr>
        <w:t>ephemeralization</w:t>
      </w:r>
      <w:proofErr w:type="spellEnd"/>
      <w:r>
        <w:rPr>
          <w:rFonts w:eastAsia="Times New Roman" w:cs="Times New Roman"/>
          <w:color w:val="000000"/>
          <w:sz w:val="18"/>
          <w:szCs w:val="18"/>
          <w:lang w:eastAsia="en-US"/>
        </w:rPr>
        <w:t xml:space="preserve">,” see Joachim </w:t>
      </w:r>
      <w:proofErr w:type="spellStart"/>
      <w:r>
        <w:rPr>
          <w:rFonts w:eastAsia="Times New Roman" w:cs="Times New Roman"/>
          <w:color w:val="000000"/>
          <w:sz w:val="18"/>
          <w:szCs w:val="18"/>
          <w:lang w:eastAsia="en-US"/>
        </w:rPr>
        <w:t>Krausse</w:t>
      </w:r>
      <w:proofErr w:type="spellEnd"/>
      <w:r>
        <w:rPr>
          <w:rFonts w:eastAsia="Times New Roman" w:cs="Times New Roman"/>
          <w:color w:val="000000"/>
          <w:sz w:val="18"/>
          <w:szCs w:val="18"/>
          <w:lang w:eastAsia="en-US"/>
        </w:rPr>
        <w:t xml:space="preserve"> and Claude Lichtenstein, eds., </w:t>
      </w:r>
      <w:r>
        <w:rPr>
          <w:rFonts w:eastAsia="Times New Roman" w:cs="Times New Roman"/>
          <w:i/>
          <w:color w:val="000000"/>
          <w:sz w:val="18"/>
          <w:szCs w:val="18"/>
          <w:lang w:eastAsia="en-US"/>
        </w:rPr>
        <w:t xml:space="preserve">Your Private Sky: R. Buckminster Fuller Discourse </w:t>
      </w:r>
      <w:r>
        <w:rPr>
          <w:rFonts w:eastAsia="Times New Roman" w:cs="Times New Roman"/>
          <w:color w:val="000000"/>
          <w:sz w:val="18"/>
          <w:szCs w:val="18"/>
          <w:lang w:eastAsia="en-US"/>
        </w:rPr>
        <w:t xml:space="preserve">(Zurich: Lars Müller Publishers, 2001). </w:t>
      </w:r>
    </w:p>
    <w:p w14:paraId="208DCFA5" w14:textId="77777777" w:rsidR="00A56ABB" w:rsidRDefault="00A56ABB" w:rsidP="004F4960">
      <w:pPr>
        <w:pStyle w:val="EndnoteText"/>
        <w:spacing w:line="240" w:lineRule="auto"/>
      </w:pPr>
    </w:p>
  </w:endnote>
  <w:endnote w:id="7">
    <w:p w14:paraId="3A7801C6" w14:textId="12087A75" w:rsidR="00A56ABB" w:rsidRPr="00A735C1" w:rsidRDefault="00A56ABB" w:rsidP="00A735C1">
      <w:pPr>
        <w:pStyle w:val="Footnote"/>
        <w:rPr>
          <w:color w:val="auto"/>
        </w:rPr>
      </w:pPr>
      <w:r w:rsidRPr="00105BB0">
        <w:rPr>
          <w:rStyle w:val="EndnoteReference"/>
          <w:color w:val="auto"/>
        </w:rPr>
        <w:endnoteRef/>
      </w:r>
      <w:r w:rsidRPr="00105BB0">
        <w:rPr>
          <w:color w:val="auto"/>
        </w:rPr>
        <w:t xml:space="preserve"> </w:t>
      </w:r>
      <w:r w:rsidRPr="00A735C1">
        <w:t xml:space="preserve">See Cedric Price, </w:t>
      </w:r>
      <w:proofErr w:type="spellStart"/>
      <w:r w:rsidRPr="00A735C1">
        <w:rPr>
          <w:i/>
        </w:rPr>
        <w:t>Archigram</w:t>
      </w:r>
      <w:proofErr w:type="spellEnd"/>
      <w:r w:rsidRPr="00A735C1">
        <w:rPr>
          <w:i/>
        </w:rPr>
        <w:t xml:space="preserve"> 3, </w:t>
      </w:r>
      <w:r w:rsidRPr="00A735C1">
        <w:t>1963.</w:t>
      </w:r>
      <w:r>
        <w:t xml:space="preserve"> </w:t>
      </w:r>
      <w:r w:rsidRPr="00105BB0">
        <w:rPr>
          <w:color w:val="auto"/>
        </w:rPr>
        <w:t xml:space="preserve">It should be noted that in 1966, Price and Newby approached the British Ministry of Technology with proposals to conduct research on the use of air structures in the construction industry. As a result, the British Ministry of Public Building and Works commissioned them to undertake a survey on pneumatics in 1968. Their extensive research on the topic was published as a report entitled </w:t>
      </w:r>
      <w:r w:rsidRPr="00105BB0">
        <w:rPr>
          <w:i/>
          <w:color w:val="auto"/>
        </w:rPr>
        <w:t>Air Structures: A Survey</w:t>
      </w:r>
      <w:r w:rsidRPr="00105BB0">
        <w:rPr>
          <w:color w:val="auto"/>
        </w:rPr>
        <w:t xml:space="preserve"> in 1971</w:t>
      </w:r>
      <w:r>
        <w:rPr>
          <w:color w:val="auto"/>
        </w:rPr>
        <w:t xml:space="preserve"> and it</w:t>
      </w:r>
      <w:r w:rsidRPr="00105BB0">
        <w:rPr>
          <w:color w:val="auto"/>
        </w:rPr>
        <w:t xml:space="preserve"> cover</w:t>
      </w:r>
      <w:r>
        <w:rPr>
          <w:color w:val="auto"/>
        </w:rPr>
        <w:t>ed</w:t>
      </w:r>
      <w:r w:rsidRPr="00105BB0">
        <w:rPr>
          <w:color w:val="auto"/>
        </w:rPr>
        <w:t xml:space="preserve"> the history, principles and applications of air structures. Although the British Government did not sponsor further research on the topic, what was particularly remarkable about this endeavor was Price and Newby’s commitment to both the technological and cultural dimensions of inflatables. According to Price and Newby, the publication “surveys the current research and development in this field and makes a number of proposals for future research.” Cedric Price and Frank Newby, </w:t>
      </w:r>
      <w:r w:rsidRPr="00105BB0">
        <w:rPr>
          <w:i/>
          <w:color w:val="auto"/>
        </w:rPr>
        <w:t xml:space="preserve">Air Structures: A Survey </w:t>
      </w:r>
      <w:r w:rsidRPr="00105BB0">
        <w:rPr>
          <w:color w:val="auto"/>
        </w:rPr>
        <w:t xml:space="preserve">(London: Her </w:t>
      </w:r>
      <w:r w:rsidRPr="00A735C1">
        <w:rPr>
          <w:color w:val="auto"/>
        </w:rPr>
        <w:t xml:space="preserve">Majesty’s Stationery Office, 1971) iii. </w:t>
      </w:r>
    </w:p>
    <w:p w14:paraId="28E8D0CA" w14:textId="77777777" w:rsidR="00A56ABB" w:rsidRPr="00A735C1" w:rsidRDefault="00A56ABB" w:rsidP="00A735C1">
      <w:pPr>
        <w:pStyle w:val="FootnoteText"/>
        <w:spacing w:line="240" w:lineRule="auto"/>
        <w:contextualSpacing/>
        <w:rPr>
          <w:sz w:val="18"/>
          <w:szCs w:val="18"/>
        </w:rPr>
      </w:pPr>
    </w:p>
  </w:endnote>
  <w:endnote w:id="8">
    <w:p w14:paraId="069E9048" w14:textId="2952C58C" w:rsidR="00A56ABB" w:rsidRPr="00105BB0" w:rsidRDefault="00A56ABB" w:rsidP="007E1C7B">
      <w:pPr>
        <w:pStyle w:val="Footnote"/>
        <w:rPr>
          <w:color w:val="auto"/>
        </w:rPr>
      </w:pPr>
      <w:r w:rsidRPr="00105BB0">
        <w:rPr>
          <w:rStyle w:val="EndnoteReference"/>
          <w:color w:val="auto"/>
        </w:rPr>
        <w:endnoteRef/>
      </w:r>
      <w:r w:rsidRPr="00105BB0">
        <w:rPr>
          <w:color w:val="auto"/>
        </w:rPr>
        <w:t xml:space="preserve"> This societal and material shift from heirloom to throwaway was addressed as early as 1960, when Banham addressed the topic of expendability in </w:t>
      </w:r>
      <w:r w:rsidRPr="00105BB0">
        <w:rPr>
          <w:i/>
          <w:color w:val="auto"/>
        </w:rPr>
        <w:t>Architectural Review</w:t>
      </w:r>
      <w:r w:rsidRPr="00105BB0">
        <w:rPr>
          <w:color w:val="auto"/>
        </w:rPr>
        <w:t xml:space="preserve">. He writes, “One of the great worries at the margins of the architectural profession is that building design just does not match the design of </w:t>
      </w:r>
      <w:proofErr w:type="spellStart"/>
      <w:r w:rsidRPr="00105BB0">
        <w:rPr>
          <w:color w:val="auto"/>
        </w:rPr>
        <w:t>expendabilia</w:t>
      </w:r>
      <w:proofErr w:type="spellEnd"/>
      <w:r w:rsidRPr="00105BB0">
        <w:rPr>
          <w:color w:val="auto"/>
        </w:rPr>
        <w:t xml:space="preserve"> in functional and aesthetic performance.” </w:t>
      </w:r>
      <w:proofErr w:type="spellStart"/>
      <w:r w:rsidRPr="00105BB0">
        <w:rPr>
          <w:color w:val="auto"/>
        </w:rPr>
        <w:t>Reyner</w:t>
      </w:r>
      <w:proofErr w:type="spellEnd"/>
      <w:r w:rsidRPr="00105BB0">
        <w:rPr>
          <w:color w:val="auto"/>
        </w:rPr>
        <w:t xml:space="preserve"> Banham, “Propositions 5,” </w:t>
      </w:r>
      <w:r w:rsidRPr="00105BB0">
        <w:rPr>
          <w:i/>
          <w:color w:val="auto"/>
        </w:rPr>
        <w:t>Architectural Review</w:t>
      </w:r>
      <w:r w:rsidRPr="00105BB0">
        <w:rPr>
          <w:color w:val="auto"/>
        </w:rPr>
        <w:t xml:space="preserve">, June 1960, 385. It should also be noted that Banham was affiliated with the International Group (IG), who had been working with the notion of expendability in architecture since the mid </w:t>
      </w:r>
      <w:r>
        <w:rPr>
          <w:color w:val="auto"/>
        </w:rPr>
        <w:t>19</w:t>
      </w:r>
      <w:r w:rsidRPr="00105BB0">
        <w:rPr>
          <w:color w:val="auto"/>
        </w:rPr>
        <w:t xml:space="preserve">50s.   </w:t>
      </w:r>
    </w:p>
    <w:p w14:paraId="0C11C4CB" w14:textId="77777777" w:rsidR="00A56ABB" w:rsidRPr="00105BB0" w:rsidRDefault="00A56ABB" w:rsidP="00FE6046">
      <w:pPr>
        <w:pStyle w:val="FootnoteText"/>
        <w:spacing w:line="240" w:lineRule="auto"/>
        <w:contextualSpacing/>
        <w:rPr>
          <w:sz w:val="18"/>
          <w:szCs w:val="18"/>
        </w:rPr>
      </w:pPr>
    </w:p>
  </w:endnote>
  <w:endnote w:id="9">
    <w:p w14:paraId="20B760C9" w14:textId="77777777" w:rsidR="00A56ABB" w:rsidRPr="00105BB0" w:rsidRDefault="00A56ABB" w:rsidP="00FE6046">
      <w:pPr>
        <w:spacing w:line="240" w:lineRule="auto"/>
        <w:rPr>
          <w:sz w:val="18"/>
          <w:szCs w:val="18"/>
        </w:rPr>
      </w:pPr>
      <w:r w:rsidRPr="00105BB0">
        <w:rPr>
          <w:rStyle w:val="EndnoteReference"/>
          <w:sz w:val="18"/>
          <w:szCs w:val="18"/>
        </w:rPr>
        <w:endnoteRef/>
      </w:r>
      <w:r w:rsidRPr="00105BB0">
        <w:rPr>
          <w:sz w:val="18"/>
          <w:szCs w:val="18"/>
        </w:rPr>
        <w:t xml:space="preserve"> “Experimental work frequently finds its grit and inspiration in the desire to undermine and explode all rival positions. Yet there is the broad and horrific mainstream of recent architecture which must be recognized, and which the more cerebral world of experiment has to refer to and fight against—and ultimately give its sustenance: for in architecture this is its ultimate role.” </w:t>
      </w:r>
      <w:r w:rsidRPr="00105BB0">
        <w:rPr>
          <w:rFonts w:cs="Helvetica"/>
          <w:sz w:val="18"/>
          <w:szCs w:val="18"/>
        </w:rPr>
        <w:t xml:space="preserve">Peter Cook, </w:t>
      </w:r>
      <w:r w:rsidRPr="00105BB0">
        <w:rPr>
          <w:rFonts w:cs="Helvetica"/>
          <w:i/>
          <w:iCs/>
          <w:sz w:val="18"/>
          <w:szCs w:val="18"/>
        </w:rPr>
        <w:t>Experimental Architecture</w:t>
      </w:r>
      <w:r w:rsidRPr="00105BB0">
        <w:rPr>
          <w:rFonts w:cs="Helvetica"/>
          <w:sz w:val="18"/>
          <w:szCs w:val="18"/>
        </w:rPr>
        <w:t xml:space="preserve"> (New York: Universe Books, 1970) 7.</w:t>
      </w:r>
    </w:p>
    <w:p w14:paraId="3608CBF9" w14:textId="77777777" w:rsidR="00A56ABB" w:rsidRPr="00105BB0" w:rsidRDefault="00A56ABB" w:rsidP="00FE6046">
      <w:pPr>
        <w:spacing w:line="240" w:lineRule="auto"/>
        <w:rPr>
          <w:sz w:val="18"/>
          <w:szCs w:val="18"/>
        </w:rPr>
      </w:pPr>
    </w:p>
  </w:endnote>
  <w:endnote w:id="10">
    <w:p w14:paraId="0A85D7D7" w14:textId="77777777" w:rsidR="00A56ABB" w:rsidRPr="00105BB0" w:rsidRDefault="00A56ABB" w:rsidP="00FE6046">
      <w:pPr>
        <w:spacing w:line="240" w:lineRule="auto"/>
        <w:rPr>
          <w:rFonts w:cs="Helvetica"/>
          <w:sz w:val="18"/>
          <w:szCs w:val="18"/>
        </w:rPr>
      </w:pPr>
      <w:r w:rsidRPr="00105BB0">
        <w:rPr>
          <w:rStyle w:val="EndnoteReference"/>
          <w:sz w:val="18"/>
          <w:szCs w:val="18"/>
        </w:rPr>
        <w:endnoteRef/>
      </w:r>
      <w:r w:rsidRPr="00105BB0">
        <w:rPr>
          <w:sz w:val="18"/>
          <w:szCs w:val="18"/>
        </w:rPr>
        <w:t xml:space="preserve"> “[A] redefinition of experiment in architecture: to </w:t>
      </w:r>
      <w:r w:rsidRPr="00105BB0">
        <w:rPr>
          <w:i/>
          <w:sz w:val="18"/>
          <w:szCs w:val="18"/>
        </w:rPr>
        <w:t xml:space="preserve">experiment out of architecture.” </w:t>
      </w:r>
      <w:r w:rsidRPr="00105BB0">
        <w:rPr>
          <w:rFonts w:cs="Helvetica"/>
          <w:sz w:val="18"/>
          <w:szCs w:val="18"/>
        </w:rPr>
        <w:t xml:space="preserve">Cook, </w:t>
      </w:r>
      <w:r w:rsidRPr="00105BB0">
        <w:rPr>
          <w:rFonts w:cs="Helvetica"/>
          <w:i/>
          <w:iCs/>
          <w:sz w:val="18"/>
          <w:szCs w:val="18"/>
        </w:rPr>
        <w:t>Experimental Architecture</w:t>
      </w:r>
      <w:r w:rsidRPr="00105BB0">
        <w:rPr>
          <w:rFonts w:cs="Helvetica"/>
          <w:sz w:val="18"/>
          <w:szCs w:val="18"/>
        </w:rPr>
        <w:t>, 7.</w:t>
      </w:r>
    </w:p>
    <w:p w14:paraId="4BB6186A" w14:textId="77777777" w:rsidR="00A56ABB" w:rsidRPr="00105BB0" w:rsidRDefault="00A56ABB" w:rsidP="00FE6046">
      <w:pPr>
        <w:spacing w:line="240" w:lineRule="auto"/>
        <w:rPr>
          <w:rFonts w:cs="Helvetica"/>
          <w:sz w:val="18"/>
          <w:szCs w:val="18"/>
        </w:rPr>
      </w:pPr>
    </w:p>
  </w:endnote>
  <w:endnote w:id="11">
    <w:p w14:paraId="4EEDE98E" w14:textId="77777777" w:rsidR="00A56ABB" w:rsidRPr="00105BB0" w:rsidRDefault="00A56ABB" w:rsidP="00FE6046">
      <w:pPr>
        <w:spacing w:line="240" w:lineRule="auto"/>
        <w:contextualSpacing/>
        <w:rPr>
          <w:sz w:val="18"/>
          <w:szCs w:val="18"/>
        </w:rPr>
      </w:pPr>
      <w:r w:rsidRPr="00105BB0">
        <w:rPr>
          <w:rStyle w:val="EndnoteReference"/>
          <w:sz w:val="18"/>
          <w:szCs w:val="18"/>
        </w:rPr>
        <w:endnoteRef/>
      </w:r>
      <w:r w:rsidRPr="00105BB0">
        <w:rPr>
          <w:sz w:val="18"/>
          <w:szCs w:val="18"/>
        </w:rPr>
        <w:t xml:space="preserve"> </w:t>
      </w:r>
      <w:proofErr w:type="spellStart"/>
      <w:r w:rsidRPr="00105BB0">
        <w:rPr>
          <w:sz w:val="18"/>
          <w:szCs w:val="18"/>
        </w:rPr>
        <w:t>Reyner</w:t>
      </w:r>
      <w:proofErr w:type="spellEnd"/>
      <w:r w:rsidRPr="00105BB0">
        <w:rPr>
          <w:sz w:val="18"/>
          <w:szCs w:val="18"/>
        </w:rPr>
        <w:t xml:space="preserve"> Banham, “Monumental Windbags,” 18 April 1968, vol. 11, no. 290: 569-570, </w:t>
      </w:r>
      <w:r w:rsidRPr="00105BB0">
        <w:rPr>
          <w:i/>
          <w:sz w:val="18"/>
          <w:szCs w:val="18"/>
        </w:rPr>
        <w:t xml:space="preserve">Arts in Society. </w:t>
      </w:r>
      <w:r w:rsidRPr="00105BB0">
        <w:rPr>
          <w:sz w:val="18"/>
          <w:szCs w:val="18"/>
        </w:rPr>
        <w:t>Reprinted</w:t>
      </w:r>
      <w:r w:rsidRPr="00105BB0">
        <w:rPr>
          <w:i/>
          <w:sz w:val="18"/>
          <w:szCs w:val="18"/>
        </w:rPr>
        <w:t xml:space="preserve"> </w:t>
      </w:r>
      <w:r w:rsidRPr="00105BB0">
        <w:rPr>
          <w:sz w:val="18"/>
          <w:szCs w:val="18"/>
        </w:rPr>
        <w:t xml:space="preserve">in </w:t>
      </w:r>
      <w:r w:rsidRPr="00105BB0">
        <w:rPr>
          <w:i/>
          <w:sz w:val="18"/>
          <w:szCs w:val="18"/>
        </w:rPr>
        <w:t xml:space="preserve">The Inflatable Moment: Pneumatics and Protest in ’68, </w:t>
      </w:r>
      <w:r w:rsidRPr="00105BB0">
        <w:rPr>
          <w:sz w:val="18"/>
          <w:szCs w:val="18"/>
        </w:rPr>
        <w:t xml:space="preserve">ed. Marc </w:t>
      </w:r>
      <w:proofErr w:type="spellStart"/>
      <w:r w:rsidRPr="00105BB0">
        <w:rPr>
          <w:sz w:val="18"/>
          <w:szCs w:val="18"/>
        </w:rPr>
        <w:t>Dessauce</w:t>
      </w:r>
      <w:proofErr w:type="spellEnd"/>
      <w:r w:rsidRPr="00105BB0">
        <w:rPr>
          <w:sz w:val="18"/>
          <w:szCs w:val="18"/>
        </w:rPr>
        <w:t xml:space="preserve"> (New York: Princeton Architectural Press &amp; The Architectural League of New York, 1999) 31-33. </w:t>
      </w:r>
    </w:p>
    <w:p w14:paraId="1825B9D7" w14:textId="77777777" w:rsidR="00A56ABB" w:rsidRPr="00105BB0" w:rsidRDefault="00A56ABB" w:rsidP="00FE6046">
      <w:pPr>
        <w:pStyle w:val="FootnoteText"/>
        <w:spacing w:line="240" w:lineRule="auto"/>
        <w:contextualSpacing/>
        <w:rPr>
          <w:sz w:val="18"/>
          <w:szCs w:val="18"/>
        </w:rPr>
      </w:pPr>
    </w:p>
  </w:endnote>
  <w:endnote w:id="12">
    <w:p w14:paraId="3BD49F58" w14:textId="14363FFE" w:rsidR="00A56ABB" w:rsidRPr="00105BB0" w:rsidRDefault="00A56ABB" w:rsidP="00FE6046">
      <w:pPr>
        <w:pStyle w:val="EndnoteText"/>
        <w:spacing w:line="240" w:lineRule="auto"/>
        <w:rPr>
          <w:sz w:val="18"/>
          <w:szCs w:val="18"/>
        </w:rPr>
      </w:pPr>
      <w:r w:rsidRPr="00105BB0">
        <w:rPr>
          <w:rStyle w:val="EndnoteReference"/>
          <w:sz w:val="18"/>
          <w:szCs w:val="18"/>
        </w:rPr>
        <w:endnoteRef/>
      </w:r>
      <w:r w:rsidRPr="00105BB0">
        <w:rPr>
          <w:sz w:val="18"/>
          <w:szCs w:val="18"/>
        </w:rPr>
        <w:t xml:space="preserve"> </w:t>
      </w:r>
      <w:r w:rsidRPr="008C4EE4">
        <w:rPr>
          <w:sz w:val="18"/>
          <w:szCs w:val="18"/>
        </w:rPr>
        <w:t xml:space="preserve">As illustrated by François </w:t>
      </w:r>
      <w:proofErr w:type="spellStart"/>
      <w:r w:rsidRPr="008C4EE4">
        <w:rPr>
          <w:sz w:val="18"/>
          <w:szCs w:val="18"/>
        </w:rPr>
        <w:t>Dallegret’s</w:t>
      </w:r>
      <w:proofErr w:type="spellEnd"/>
      <w:r w:rsidRPr="008C4EE4">
        <w:rPr>
          <w:sz w:val="18"/>
          <w:szCs w:val="18"/>
        </w:rPr>
        <w:t xml:space="preserve"> rendering, air-conditioning systems inflated a transparent plastic dome, and could be sited anywhere, even on a rock. A mobile bachelor pad with mechanical servicing, it featured the latest in environmental controls and electronic entertainment.</w:t>
      </w:r>
      <w:r w:rsidRPr="007D5B82">
        <w:t xml:space="preserve"> </w:t>
      </w:r>
      <w:proofErr w:type="spellStart"/>
      <w:r w:rsidRPr="00105BB0">
        <w:rPr>
          <w:sz w:val="18"/>
          <w:szCs w:val="18"/>
        </w:rPr>
        <w:t>Reyner</w:t>
      </w:r>
      <w:proofErr w:type="spellEnd"/>
      <w:r w:rsidRPr="00105BB0">
        <w:rPr>
          <w:sz w:val="18"/>
          <w:szCs w:val="18"/>
        </w:rPr>
        <w:t xml:space="preserve"> Banham, “A Home is Not a House,” </w:t>
      </w:r>
      <w:r w:rsidRPr="00105BB0">
        <w:rPr>
          <w:i/>
          <w:sz w:val="18"/>
          <w:szCs w:val="18"/>
        </w:rPr>
        <w:t>Art in America</w:t>
      </w:r>
      <w:r w:rsidRPr="00105BB0">
        <w:rPr>
          <w:sz w:val="18"/>
          <w:szCs w:val="18"/>
        </w:rPr>
        <w:t>, Vol. 2, 1965: 70-79.</w:t>
      </w:r>
    </w:p>
    <w:p w14:paraId="3B62E2BD" w14:textId="77777777" w:rsidR="00A56ABB" w:rsidRPr="00105BB0" w:rsidRDefault="00A56ABB" w:rsidP="00FE6046">
      <w:pPr>
        <w:pStyle w:val="EndnoteText"/>
        <w:spacing w:line="240" w:lineRule="auto"/>
        <w:rPr>
          <w:sz w:val="18"/>
          <w:szCs w:val="18"/>
        </w:rPr>
      </w:pPr>
    </w:p>
  </w:endnote>
  <w:endnote w:id="13">
    <w:p w14:paraId="4567867C" w14:textId="3CAC8AF7" w:rsidR="00A56ABB" w:rsidRPr="00105BB0" w:rsidRDefault="00A56ABB" w:rsidP="00FE6046">
      <w:pPr>
        <w:spacing w:line="240" w:lineRule="auto"/>
        <w:contextualSpacing/>
        <w:rPr>
          <w:sz w:val="18"/>
          <w:szCs w:val="18"/>
        </w:rPr>
      </w:pPr>
      <w:r w:rsidRPr="00105BB0">
        <w:rPr>
          <w:rStyle w:val="EndnoteReference"/>
          <w:sz w:val="18"/>
          <w:szCs w:val="18"/>
        </w:rPr>
        <w:endnoteRef/>
      </w:r>
      <w:r>
        <w:rPr>
          <w:sz w:val="18"/>
          <w:szCs w:val="18"/>
        </w:rPr>
        <w:t xml:space="preserve"> </w:t>
      </w:r>
      <w:r w:rsidRPr="00105BB0">
        <w:rPr>
          <w:sz w:val="18"/>
          <w:szCs w:val="18"/>
        </w:rPr>
        <w:t xml:space="preserve">Banham, “Monumental Windbags,” 31-33. </w:t>
      </w:r>
    </w:p>
    <w:p w14:paraId="148E8DC0" w14:textId="77777777" w:rsidR="00A56ABB" w:rsidRPr="00105BB0" w:rsidRDefault="00A56ABB" w:rsidP="00FE6046">
      <w:pPr>
        <w:spacing w:line="240" w:lineRule="auto"/>
        <w:contextualSpacing/>
        <w:rPr>
          <w:sz w:val="18"/>
          <w:szCs w:val="18"/>
        </w:rPr>
      </w:pPr>
    </w:p>
  </w:endnote>
  <w:endnote w:id="14">
    <w:p w14:paraId="70675251" w14:textId="64D86B0C" w:rsidR="00A56ABB" w:rsidRDefault="00A56ABB" w:rsidP="00FE6046">
      <w:pPr>
        <w:pStyle w:val="EndnoteText"/>
        <w:spacing w:line="240" w:lineRule="auto"/>
        <w:rPr>
          <w:sz w:val="18"/>
          <w:szCs w:val="18"/>
        </w:rPr>
      </w:pPr>
      <w:r w:rsidRPr="00105BB0">
        <w:rPr>
          <w:rStyle w:val="EndnoteReference"/>
          <w:sz w:val="18"/>
          <w:szCs w:val="18"/>
        </w:rPr>
        <w:endnoteRef/>
      </w:r>
      <w:r w:rsidRPr="00105BB0">
        <w:rPr>
          <w:sz w:val="18"/>
          <w:szCs w:val="18"/>
        </w:rPr>
        <w:t xml:space="preserve"> Banham, “A Home is Not a House,” 70-79.</w:t>
      </w:r>
    </w:p>
    <w:p w14:paraId="67B902D9" w14:textId="77777777" w:rsidR="00A56ABB" w:rsidRPr="00105BB0" w:rsidRDefault="00A56ABB" w:rsidP="00FE6046">
      <w:pPr>
        <w:pStyle w:val="EndnoteText"/>
        <w:spacing w:line="240" w:lineRule="auto"/>
        <w:rPr>
          <w:sz w:val="18"/>
          <w:szCs w:val="18"/>
        </w:rPr>
      </w:pPr>
    </w:p>
  </w:endnote>
  <w:endnote w:id="15">
    <w:p w14:paraId="7A572AFE" w14:textId="0A7EE732" w:rsidR="00A56ABB" w:rsidRPr="00105BB0" w:rsidRDefault="00A56ABB" w:rsidP="00FE604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See Thomas Leslie, “Just What is it That Makes Capsule Homes So Different, So Appealing? Domesticity and the Technological Sublime, 1945 to 1975,” </w:t>
      </w:r>
      <w:r w:rsidRPr="00105BB0">
        <w:rPr>
          <w:i/>
          <w:sz w:val="18"/>
          <w:szCs w:val="18"/>
        </w:rPr>
        <w:t xml:space="preserve">Space and Culture, </w:t>
      </w:r>
      <w:r w:rsidRPr="00105BB0">
        <w:rPr>
          <w:sz w:val="18"/>
          <w:szCs w:val="18"/>
        </w:rPr>
        <w:t xml:space="preserve">Vol. 9, No. 2 (May 2006): 183.  </w:t>
      </w:r>
      <w:hyperlink r:id="rId1" w:history="1">
        <w:r w:rsidRPr="00105BB0">
          <w:rPr>
            <w:rStyle w:val="Hyperlink"/>
            <w:color w:val="auto"/>
            <w:sz w:val="18"/>
            <w:szCs w:val="18"/>
          </w:rPr>
          <w:t>http://sac.sagepub.com/cgi/content/abstract/9/2/180</w:t>
        </w:r>
      </w:hyperlink>
      <w:r w:rsidRPr="00105BB0">
        <w:rPr>
          <w:sz w:val="18"/>
          <w:szCs w:val="18"/>
        </w:rPr>
        <w:t xml:space="preserve">  (accessed February 15, 2008). </w:t>
      </w:r>
    </w:p>
    <w:p w14:paraId="7D1953D2" w14:textId="77777777" w:rsidR="00A56ABB" w:rsidRPr="00105BB0" w:rsidRDefault="00A56ABB" w:rsidP="00FE6046">
      <w:pPr>
        <w:pStyle w:val="EndnoteText"/>
        <w:spacing w:line="240" w:lineRule="auto"/>
        <w:contextualSpacing/>
        <w:rPr>
          <w:sz w:val="18"/>
          <w:szCs w:val="18"/>
        </w:rPr>
      </w:pPr>
    </w:p>
  </w:endnote>
  <w:endnote w:id="16">
    <w:p w14:paraId="4FB1A1BD" w14:textId="77777777" w:rsidR="00A56ABB" w:rsidRPr="00105BB0" w:rsidRDefault="00A56ABB" w:rsidP="00FE6046">
      <w:pPr>
        <w:pStyle w:val="EndnoteText"/>
        <w:spacing w:line="240" w:lineRule="auto"/>
        <w:rPr>
          <w:sz w:val="18"/>
          <w:szCs w:val="18"/>
        </w:rPr>
      </w:pPr>
      <w:r w:rsidRPr="00105BB0">
        <w:rPr>
          <w:rStyle w:val="EndnoteReference"/>
          <w:sz w:val="18"/>
          <w:szCs w:val="18"/>
        </w:rPr>
        <w:endnoteRef/>
      </w:r>
      <w:r w:rsidRPr="00105BB0">
        <w:rPr>
          <w:sz w:val="18"/>
          <w:szCs w:val="18"/>
        </w:rPr>
        <w:t xml:space="preserve"> Ant Farm, </w:t>
      </w:r>
      <w:proofErr w:type="spellStart"/>
      <w:r w:rsidRPr="00105BB0">
        <w:rPr>
          <w:i/>
          <w:sz w:val="18"/>
          <w:szCs w:val="18"/>
        </w:rPr>
        <w:t>Inflatocookbook</w:t>
      </w:r>
      <w:proofErr w:type="spellEnd"/>
      <w:r w:rsidRPr="00105BB0">
        <w:rPr>
          <w:sz w:val="18"/>
          <w:szCs w:val="18"/>
        </w:rPr>
        <w:t>, 1973.</w:t>
      </w:r>
    </w:p>
    <w:p w14:paraId="6C96B2A3" w14:textId="77777777" w:rsidR="00A56ABB" w:rsidRPr="00105BB0" w:rsidRDefault="00A56ABB" w:rsidP="00FE6046">
      <w:pPr>
        <w:pStyle w:val="EndnoteText"/>
        <w:spacing w:line="240" w:lineRule="auto"/>
        <w:rPr>
          <w:sz w:val="18"/>
          <w:szCs w:val="18"/>
        </w:rPr>
      </w:pPr>
    </w:p>
  </w:endnote>
  <w:endnote w:id="17">
    <w:p w14:paraId="47DD717C" w14:textId="15577E49" w:rsidR="00A56ABB" w:rsidRPr="00105BB0" w:rsidRDefault="00A56ABB" w:rsidP="00FE6046">
      <w:pPr>
        <w:pStyle w:val="EndnoteText"/>
        <w:spacing w:line="240" w:lineRule="auto"/>
        <w:rPr>
          <w:sz w:val="18"/>
          <w:szCs w:val="18"/>
        </w:rPr>
      </w:pPr>
      <w:r w:rsidRPr="00105BB0">
        <w:rPr>
          <w:rStyle w:val="EndnoteReference"/>
          <w:sz w:val="18"/>
          <w:szCs w:val="18"/>
        </w:rPr>
        <w:endnoteRef/>
      </w:r>
      <w:r w:rsidRPr="00105BB0">
        <w:rPr>
          <w:sz w:val="18"/>
          <w:szCs w:val="18"/>
        </w:rPr>
        <w:t xml:space="preserve"> See “Recycling” on the “Materials” page of Ant Farm’s </w:t>
      </w:r>
      <w:proofErr w:type="spellStart"/>
      <w:r w:rsidRPr="00105BB0">
        <w:rPr>
          <w:i/>
          <w:sz w:val="18"/>
          <w:szCs w:val="18"/>
        </w:rPr>
        <w:t>Inflatocookbook</w:t>
      </w:r>
      <w:proofErr w:type="spellEnd"/>
      <w:r w:rsidRPr="00105BB0">
        <w:rPr>
          <w:sz w:val="18"/>
          <w:szCs w:val="18"/>
        </w:rPr>
        <w:t>.</w:t>
      </w:r>
    </w:p>
    <w:p w14:paraId="5BA13198" w14:textId="77777777" w:rsidR="00A56ABB" w:rsidRPr="00105BB0" w:rsidRDefault="00A56ABB" w:rsidP="00FE6046">
      <w:pPr>
        <w:pStyle w:val="EndnoteText"/>
        <w:spacing w:line="240" w:lineRule="auto"/>
        <w:rPr>
          <w:sz w:val="18"/>
          <w:szCs w:val="18"/>
        </w:rPr>
      </w:pPr>
    </w:p>
  </w:endnote>
  <w:endnote w:id="18">
    <w:p w14:paraId="7068C3E9" w14:textId="0BAECD33" w:rsidR="00A56ABB" w:rsidRPr="00105BB0" w:rsidRDefault="00A56ABB" w:rsidP="007E1C7B">
      <w:pPr>
        <w:pStyle w:val="Footnote"/>
        <w:rPr>
          <w:color w:val="auto"/>
        </w:rPr>
      </w:pPr>
      <w:r w:rsidRPr="00105BB0">
        <w:rPr>
          <w:rStyle w:val="EndnoteReference"/>
          <w:color w:val="auto"/>
        </w:rPr>
        <w:endnoteRef/>
      </w:r>
      <w:r w:rsidRPr="00105BB0">
        <w:rPr>
          <w:color w:val="auto"/>
        </w:rPr>
        <w:t xml:space="preserve"> </w:t>
      </w:r>
      <w:r w:rsidRPr="00105BB0">
        <w:rPr>
          <w:i/>
          <w:color w:val="auto"/>
        </w:rPr>
        <w:t xml:space="preserve">The Last Whole Earth Catalog </w:t>
      </w:r>
      <w:r w:rsidRPr="00105BB0">
        <w:rPr>
          <w:color w:val="auto"/>
        </w:rPr>
        <w:t>(</w:t>
      </w:r>
      <w:r>
        <w:rPr>
          <w:color w:val="auto"/>
        </w:rPr>
        <w:t xml:space="preserve">Menlo Park, CA: </w:t>
      </w:r>
      <w:r w:rsidRPr="00105BB0">
        <w:rPr>
          <w:color w:val="auto"/>
        </w:rPr>
        <w:t>Portola Institute</w:t>
      </w:r>
      <w:r>
        <w:rPr>
          <w:color w:val="auto"/>
        </w:rPr>
        <w:t xml:space="preserve">, </w:t>
      </w:r>
      <w:r w:rsidRPr="00105BB0">
        <w:rPr>
          <w:color w:val="auto"/>
        </w:rPr>
        <w:t>1971) 107.</w:t>
      </w:r>
    </w:p>
    <w:p w14:paraId="7E30B315" w14:textId="77777777" w:rsidR="00A56ABB" w:rsidRPr="00105BB0" w:rsidRDefault="00A56ABB" w:rsidP="00FE6046">
      <w:pPr>
        <w:pStyle w:val="EndnoteText"/>
        <w:spacing w:line="240" w:lineRule="auto"/>
        <w:contextualSpacing/>
        <w:rPr>
          <w:sz w:val="18"/>
          <w:szCs w:val="18"/>
        </w:rPr>
      </w:pPr>
    </w:p>
  </w:endnote>
  <w:endnote w:id="19">
    <w:p w14:paraId="7C7D727C" w14:textId="77777777" w:rsidR="00A56ABB" w:rsidRPr="00105BB0" w:rsidRDefault="00A56ABB" w:rsidP="00FE6046">
      <w:pPr>
        <w:spacing w:line="240" w:lineRule="auto"/>
        <w:contextualSpacing/>
        <w:rPr>
          <w:sz w:val="18"/>
          <w:szCs w:val="18"/>
        </w:rPr>
      </w:pPr>
      <w:r w:rsidRPr="00105BB0">
        <w:rPr>
          <w:rStyle w:val="EndnoteReference"/>
          <w:sz w:val="18"/>
          <w:szCs w:val="18"/>
        </w:rPr>
        <w:endnoteRef/>
      </w:r>
      <w:r w:rsidRPr="00105BB0">
        <w:rPr>
          <w:sz w:val="18"/>
          <w:szCs w:val="18"/>
        </w:rPr>
        <w:t xml:space="preserve"> “For some reason, it has been difficult for some people to take membrane structures, as a viable building type, seriously. Viewed as tents, or tennis court covers, or temporary whims, the structures have had and continue to have, an uphill fight for acceptance. A relatively small but growing group is doing battle with the misconceptions, however, and is solving the real technical problems.” James A. Murphy, “Air Fare” in </w:t>
      </w:r>
      <w:r w:rsidRPr="00105BB0">
        <w:rPr>
          <w:i/>
          <w:sz w:val="18"/>
          <w:szCs w:val="18"/>
        </w:rPr>
        <w:t>Progressive Architecture</w:t>
      </w:r>
      <w:r w:rsidRPr="00105BB0">
        <w:rPr>
          <w:sz w:val="18"/>
          <w:szCs w:val="18"/>
        </w:rPr>
        <w:t xml:space="preserve"> (August 1972) 76.</w:t>
      </w:r>
    </w:p>
    <w:p w14:paraId="739DE6E5" w14:textId="77777777" w:rsidR="00A56ABB" w:rsidRPr="00105BB0" w:rsidRDefault="00A56ABB" w:rsidP="00FE6046">
      <w:pPr>
        <w:pStyle w:val="EndnoteText"/>
        <w:spacing w:line="240" w:lineRule="auto"/>
        <w:contextualSpacing/>
        <w:rPr>
          <w:sz w:val="18"/>
          <w:szCs w:val="18"/>
        </w:rPr>
      </w:pPr>
    </w:p>
  </w:endnote>
  <w:endnote w:id="20">
    <w:p w14:paraId="5CCE103B" w14:textId="1862238A" w:rsidR="00A56ABB" w:rsidRPr="00105BB0" w:rsidRDefault="00A56ABB" w:rsidP="00FE6046">
      <w:pPr>
        <w:spacing w:line="240" w:lineRule="auto"/>
        <w:contextualSpacing/>
        <w:rPr>
          <w:sz w:val="18"/>
          <w:szCs w:val="18"/>
        </w:rPr>
      </w:pPr>
      <w:r w:rsidRPr="00105BB0">
        <w:rPr>
          <w:rStyle w:val="EndnoteReference"/>
          <w:sz w:val="18"/>
          <w:szCs w:val="18"/>
        </w:rPr>
        <w:endnoteRef/>
      </w:r>
      <w:r>
        <w:rPr>
          <w:sz w:val="18"/>
          <w:szCs w:val="18"/>
        </w:rPr>
        <w:t xml:space="preserve"> Murphy, “Air Fare</w:t>
      </w:r>
      <w:r w:rsidRPr="00105BB0">
        <w:rPr>
          <w:sz w:val="18"/>
          <w:szCs w:val="18"/>
        </w:rPr>
        <w:t xml:space="preserve">” in </w:t>
      </w:r>
      <w:r w:rsidRPr="00105BB0">
        <w:rPr>
          <w:i/>
          <w:sz w:val="18"/>
          <w:szCs w:val="18"/>
        </w:rPr>
        <w:t>Progressive Architecture</w:t>
      </w:r>
      <w:r>
        <w:rPr>
          <w:i/>
          <w:sz w:val="18"/>
          <w:szCs w:val="18"/>
        </w:rPr>
        <w:t>,</w:t>
      </w:r>
      <w:r w:rsidRPr="00105BB0">
        <w:rPr>
          <w:sz w:val="18"/>
          <w:szCs w:val="18"/>
        </w:rPr>
        <w:t xml:space="preserve"> 76.</w:t>
      </w:r>
    </w:p>
    <w:p w14:paraId="68517E93" w14:textId="77777777" w:rsidR="00A56ABB" w:rsidRPr="00105BB0" w:rsidRDefault="00A56ABB" w:rsidP="00FE6046">
      <w:pPr>
        <w:pStyle w:val="EndnoteText"/>
        <w:spacing w:line="240" w:lineRule="auto"/>
        <w:contextualSpacing/>
        <w:rPr>
          <w:sz w:val="18"/>
          <w:szCs w:val="18"/>
        </w:rPr>
      </w:pPr>
    </w:p>
  </w:endnote>
  <w:endnote w:id="21">
    <w:p w14:paraId="0BAFD61B" w14:textId="77777777" w:rsidR="00A56ABB" w:rsidRPr="00105BB0" w:rsidRDefault="00A56ABB" w:rsidP="00FE6046">
      <w:pPr>
        <w:spacing w:line="240" w:lineRule="auto"/>
        <w:contextualSpacing/>
        <w:rPr>
          <w:sz w:val="18"/>
          <w:szCs w:val="18"/>
        </w:rPr>
      </w:pPr>
      <w:r w:rsidRPr="00105BB0">
        <w:rPr>
          <w:rStyle w:val="EndnoteReference"/>
          <w:sz w:val="18"/>
          <w:szCs w:val="18"/>
        </w:rPr>
        <w:endnoteRef/>
      </w:r>
      <w:r w:rsidRPr="00105BB0">
        <w:rPr>
          <w:sz w:val="18"/>
          <w:szCs w:val="18"/>
        </w:rPr>
        <w:t xml:space="preserve"> In addition, an essay by engineer David Geiger defines the technical performance and economical advantages of air structures, whereby he argues that their future resides in an “expanded scale.” See David H. Geiger, Ph.D., “Pneumatic Structures” in </w:t>
      </w:r>
      <w:r w:rsidRPr="00105BB0">
        <w:rPr>
          <w:i/>
          <w:sz w:val="18"/>
          <w:szCs w:val="18"/>
        </w:rPr>
        <w:t>Progressive Architecture</w:t>
      </w:r>
      <w:r w:rsidRPr="00105BB0">
        <w:rPr>
          <w:sz w:val="18"/>
          <w:szCs w:val="18"/>
        </w:rPr>
        <w:t xml:space="preserve"> (August 1972) 81-84.</w:t>
      </w:r>
    </w:p>
    <w:p w14:paraId="73B58779" w14:textId="77777777" w:rsidR="00A56ABB" w:rsidRPr="00105BB0" w:rsidRDefault="00A56ABB" w:rsidP="00FE6046">
      <w:pPr>
        <w:pStyle w:val="EndnoteText"/>
        <w:spacing w:line="240" w:lineRule="auto"/>
        <w:contextualSpacing/>
        <w:rPr>
          <w:sz w:val="18"/>
          <w:szCs w:val="18"/>
        </w:rPr>
      </w:pPr>
    </w:p>
  </w:endnote>
  <w:endnote w:id="22">
    <w:p w14:paraId="161B199B" w14:textId="72FBE628" w:rsidR="00A56ABB" w:rsidRPr="00105BB0" w:rsidRDefault="00A56ABB" w:rsidP="00FE6046">
      <w:pPr>
        <w:pStyle w:val="EndnoteText"/>
        <w:spacing w:line="240" w:lineRule="auto"/>
        <w:rPr>
          <w:sz w:val="18"/>
          <w:szCs w:val="18"/>
        </w:rPr>
      </w:pPr>
      <w:r w:rsidRPr="00105BB0">
        <w:rPr>
          <w:rStyle w:val="EndnoteReference"/>
          <w:sz w:val="18"/>
          <w:szCs w:val="18"/>
        </w:rPr>
        <w:endnoteRef/>
      </w:r>
      <w:r w:rsidRPr="00105BB0">
        <w:rPr>
          <w:sz w:val="18"/>
          <w:szCs w:val="18"/>
        </w:rPr>
        <w:t xml:space="preserve"> Murphy, “Air Fare</w:t>
      </w:r>
      <w:r>
        <w:rPr>
          <w:sz w:val="18"/>
          <w:szCs w:val="18"/>
        </w:rPr>
        <w:t xml:space="preserve">,” </w:t>
      </w:r>
      <w:r w:rsidRPr="00105BB0">
        <w:rPr>
          <w:sz w:val="18"/>
          <w:szCs w:val="18"/>
        </w:rPr>
        <w:t>87-89.</w:t>
      </w:r>
    </w:p>
    <w:p w14:paraId="28B21179" w14:textId="77777777" w:rsidR="00A56ABB" w:rsidRPr="00105BB0" w:rsidRDefault="00A56ABB" w:rsidP="00FE6046">
      <w:pPr>
        <w:pStyle w:val="EndnoteText"/>
        <w:spacing w:line="240" w:lineRule="auto"/>
        <w:rPr>
          <w:sz w:val="18"/>
          <w:szCs w:val="18"/>
        </w:rPr>
      </w:pPr>
    </w:p>
  </w:endnote>
  <w:endnote w:id="23">
    <w:p w14:paraId="52551158" w14:textId="44B974FB" w:rsidR="00A56ABB" w:rsidRPr="00105BB0" w:rsidRDefault="00A56ABB" w:rsidP="00FE604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Murphy, 87-89.</w:t>
      </w:r>
    </w:p>
    <w:p w14:paraId="24873443" w14:textId="77777777" w:rsidR="00A56ABB" w:rsidRPr="00105BB0" w:rsidRDefault="00A56ABB" w:rsidP="00FE6046">
      <w:pPr>
        <w:pStyle w:val="EndnoteText"/>
        <w:spacing w:line="240" w:lineRule="auto"/>
        <w:contextualSpacing/>
        <w:rPr>
          <w:sz w:val="18"/>
          <w:szCs w:val="18"/>
        </w:rPr>
      </w:pPr>
    </w:p>
  </w:endnote>
  <w:endnote w:id="24">
    <w:p w14:paraId="5D3A3F95" w14:textId="0AE62474" w:rsidR="00A56ABB" w:rsidRPr="00105BB0" w:rsidRDefault="00A56ABB" w:rsidP="00FE6046">
      <w:pPr>
        <w:pStyle w:val="EndnoteText"/>
        <w:spacing w:line="240" w:lineRule="auto"/>
        <w:rPr>
          <w:sz w:val="18"/>
          <w:szCs w:val="18"/>
        </w:rPr>
      </w:pPr>
      <w:r w:rsidRPr="00105BB0">
        <w:rPr>
          <w:rStyle w:val="EndnoteReference"/>
          <w:sz w:val="18"/>
          <w:szCs w:val="18"/>
        </w:rPr>
        <w:endnoteRef/>
      </w:r>
      <w:r w:rsidRPr="00105BB0">
        <w:rPr>
          <w:sz w:val="18"/>
          <w:szCs w:val="18"/>
        </w:rPr>
        <w:t xml:space="preserve"> </w:t>
      </w:r>
      <w:r>
        <w:rPr>
          <w:sz w:val="18"/>
          <w:szCs w:val="18"/>
        </w:rPr>
        <w:t xml:space="preserve">Joe </w:t>
      </w:r>
      <w:r w:rsidRPr="00105BB0">
        <w:rPr>
          <w:sz w:val="18"/>
          <w:szCs w:val="18"/>
        </w:rPr>
        <w:t>Valerio, in conversation with the author, 06 October 2016.</w:t>
      </w:r>
    </w:p>
    <w:p w14:paraId="51F87241" w14:textId="77777777" w:rsidR="00A56ABB" w:rsidRPr="00105BB0" w:rsidRDefault="00A56ABB" w:rsidP="00FE6046">
      <w:pPr>
        <w:pStyle w:val="EndnoteText"/>
        <w:spacing w:line="240" w:lineRule="auto"/>
        <w:rPr>
          <w:sz w:val="18"/>
          <w:szCs w:val="18"/>
        </w:rPr>
      </w:pPr>
    </w:p>
  </w:endnote>
  <w:endnote w:id="25">
    <w:p w14:paraId="0E9B39EA" w14:textId="678378E2" w:rsidR="00A56ABB" w:rsidRPr="00105BB0" w:rsidRDefault="00A56ABB" w:rsidP="007E1C7B">
      <w:pPr>
        <w:pStyle w:val="Footnote"/>
        <w:rPr>
          <w:color w:val="auto"/>
        </w:rPr>
      </w:pPr>
      <w:r w:rsidRPr="00105BB0">
        <w:rPr>
          <w:rStyle w:val="EndnoteReference"/>
          <w:color w:val="auto"/>
        </w:rPr>
        <w:endnoteRef/>
      </w:r>
      <w:r w:rsidRPr="00105BB0">
        <w:rPr>
          <w:color w:val="auto"/>
        </w:rPr>
        <w:t xml:space="preserve"> </w:t>
      </w:r>
      <w:r>
        <w:rPr>
          <w:color w:val="auto"/>
        </w:rPr>
        <w:t>Ibid</w:t>
      </w:r>
      <w:r w:rsidRPr="00105BB0">
        <w:rPr>
          <w:color w:val="auto"/>
        </w:rPr>
        <w:t>.</w:t>
      </w:r>
    </w:p>
    <w:p w14:paraId="20FC295F" w14:textId="77777777" w:rsidR="00A56ABB" w:rsidRPr="00105BB0" w:rsidRDefault="00A56ABB" w:rsidP="00FE6046">
      <w:pPr>
        <w:pStyle w:val="FootnoteText"/>
        <w:spacing w:line="240" w:lineRule="auto"/>
        <w:rPr>
          <w:sz w:val="18"/>
          <w:szCs w:val="18"/>
        </w:rPr>
      </w:pPr>
    </w:p>
  </w:endnote>
  <w:endnote w:id="26">
    <w:p w14:paraId="5AC54D62" w14:textId="4A5DC89E" w:rsidR="00A56ABB" w:rsidRPr="00105BB0" w:rsidRDefault="00A56ABB" w:rsidP="00FE6046">
      <w:pPr>
        <w:pStyle w:val="EndnoteText"/>
        <w:spacing w:line="240" w:lineRule="auto"/>
        <w:rPr>
          <w:sz w:val="18"/>
          <w:szCs w:val="18"/>
        </w:rPr>
      </w:pPr>
      <w:r w:rsidRPr="00105BB0">
        <w:rPr>
          <w:rStyle w:val="EndnoteReference"/>
          <w:sz w:val="18"/>
          <w:szCs w:val="18"/>
        </w:rPr>
        <w:endnoteRef/>
      </w:r>
      <w:r w:rsidRPr="00105BB0">
        <w:rPr>
          <w:sz w:val="18"/>
          <w:szCs w:val="18"/>
        </w:rPr>
        <w:t xml:space="preserve"> </w:t>
      </w:r>
      <w:r>
        <w:rPr>
          <w:sz w:val="18"/>
          <w:szCs w:val="18"/>
        </w:rPr>
        <w:t>Ibid.</w:t>
      </w:r>
    </w:p>
    <w:p w14:paraId="4343FFE1" w14:textId="77777777" w:rsidR="00A56ABB" w:rsidRPr="00105BB0" w:rsidRDefault="00A56ABB" w:rsidP="00FE6046">
      <w:pPr>
        <w:pStyle w:val="EndnoteText"/>
        <w:spacing w:line="240" w:lineRule="auto"/>
        <w:rPr>
          <w:sz w:val="18"/>
          <w:szCs w:val="18"/>
        </w:rPr>
      </w:pPr>
    </w:p>
  </w:endnote>
  <w:endnote w:id="27">
    <w:p w14:paraId="4676D9D2" w14:textId="79A371AB" w:rsidR="00A56ABB" w:rsidRPr="00105BB0" w:rsidRDefault="00A56ABB" w:rsidP="007E1C7B">
      <w:pPr>
        <w:pStyle w:val="Footnote"/>
        <w:rPr>
          <w:color w:val="auto"/>
        </w:rPr>
      </w:pPr>
      <w:r w:rsidRPr="00105BB0">
        <w:rPr>
          <w:rStyle w:val="EndnoteReference"/>
          <w:color w:val="auto"/>
        </w:rPr>
        <w:endnoteRef/>
      </w:r>
      <w:r w:rsidRPr="00105BB0">
        <w:rPr>
          <w:color w:val="auto"/>
        </w:rPr>
        <w:t xml:space="preserve"> The key text on the history and development of the Pepsi-Cola Pavilion at Expo ’70 is </w:t>
      </w:r>
      <w:r w:rsidRPr="00105BB0">
        <w:rPr>
          <w:i/>
          <w:color w:val="auto"/>
        </w:rPr>
        <w:t>Pavilion</w:t>
      </w:r>
      <w:r w:rsidRPr="00105BB0">
        <w:rPr>
          <w:color w:val="auto"/>
        </w:rPr>
        <w:t xml:space="preserve">, eds. Billy </w:t>
      </w:r>
      <w:proofErr w:type="spellStart"/>
      <w:r w:rsidRPr="00105BB0">
        <w:rPr>
          <w:color w:val="auto"/>
        </w:rPr>
        <w:t>Klüver</w:t>
      </w:r>
      <w:proofErr w:type="spellEnd"/>
      <w:r w:rsidRPr="00105BB0">
        <w:rPr>
          <w:color w:val="auto"/>
        </w:rPr>
        <w:t xml:space="preserve">, Julie Martin, Barbara Rose (New York: E.P. Dutton &amp; Co., 1972). In addition, recent essays by Mark </w:t>
      </w:r>
      <w:proofErr w:type="spellStart"/>
      <w:r w:rsidRPr="00105BB0">
        <w:rPr>
          <w:color w:val="auto"/>
        </w:rPr>
        <w:t>Waisuta</w:t>
      </w:r>
      <w:proofErr w:type="spellEnd"/>
      <w:r w:rsidRPr="00105BB0">
        <w:rPr>
          <w:color w:val="auto"/>
        </w:rPr>
        <w:t xml:space="preserve"> and Sylvia Lavin provide </w:t>
      </w:r>
      <w:r>
        <w:rPr>
          <w:color w:val="auto"/>
        </w:rPr>
        <w:t>detailed</w:t>
      </w:r>
      <w:r w:rsidRPr="00105BB0">
        <w:rPr>
          <w:color w:val="auto"/>
        </w:rPr>
        <w:t xml:space="preserve"> narratives about the development of its inner pneumatic theater. See Mark </w:t>
      </w:r>
      <w:proofErr w:type="spellStart"/>
      <w:r w:rsidRPr="00105BB0">
        <w:rPr>
          <w:color w:val="auto"/>
        </w:rPr>
        <w:t>Waisuta</w:t>
      </w:r>
      <w:proofErr w:type="spellEnd"/>
      <w:r w:rsidRPr="00105BB0">
        <w:rPr>
          <w:color w:val="auto"/>
        </w:rPr>
        <w:t xml:space="preserve">, “E.A.T. in Osaka: Transducing Technology” in </w:t>
      </w:r>
      <w:r w:rsidRPr="00105BB0">
        <w:rPr>
          <w:i/>
          <w:color w:val="auto"/>
        </w:rPr>
        <w:t xml:space="preserve">Exhibiting Architecture: A </w:t>
      </w:r>
      <w:proofErr w:type="gramStart"/>
      <w:r w:rsidRPr="00105BB0">
        <w:rPr>
          <w:i/>
          <w:color w:val="auto"/>
        </w:rPr>
        <w:t>Paradox?,</w:t>
      </w:r>
      <w:proofErr w:type="gramEnd"/>
      <w:r w:rsidRPr="00105BB0">
        <w:rPr>
          <w:i/>
          <w:color w:val="auto"/>
        </w:rPr>
        <w:t xml:space="preserve"> </w:t>
      </w:r>
      <w:r w:rsidRPr="00105BB0">
        <w:rPr>
          <w:color w:val="auto"/>
        </w:rPr>
        <w:t xml:space="preserve">ed. </w:t>
      </w:r>
      <w:proofErr w:type="spellStart"/>
      <w:r w:rsidRPr="00105BB0">
        <w:rPr>
          <w:color w:val="auto"/>
        </w:rPr>
        <w:t>Eeva-Liisa</w:t>
      </w:r>
      <w:proofErr w:type="spellEnd"/>
      <w:r w:rsidRPr="00105BB0">
        <w:rPr>
          <w:color w:val="auto"/>
        </w:rPr>
        <w:t xml:space="preserve"> </w:t>
      </w:r>
      <w:proofErr w:type="spellStart"/>
      <w:r w:rsidRPr="00105BB0">
        <w:rPr>
          <w:color w:val="auto"/>
        </w:rPr>
        <w:t>Pelkonen</w:t>
      </w:r>
      <w:proofErr w:type="spellEnd"/>
      <w:r w:rsidRPr="00105BB0">
        <w:rPr>
          <w:color w:val="auto"/>
        </w:rPr>
        <w:t xml:space="preserve"> (New Haven: Yale School of Architecture, 2015) 83-94; Sylvia Lavin, “Poof (2006)” in </w:t>
      </w:r>
      <w:r w:rsidRPr="00105BB0">
        <w:rPr>
          <w:i/>
          <w:color w:val="auto"/>
        </w:rPr>
        <w:t xml:space="preserve">Flash in the Pan, </w:t>
      </w:r>
      <w:r w:rsidRPr="00105BB0">
        <w:rPr>
          <w:color w:val="auto"/>
        </w:rPr>
        <w:t>Architecture Words 13</w:t>
      </w:r>
      <w:r w:rsidRPr="00105BB0">
        <w:rPr>
          <w:i/>
          <w:color w:val="auto"/>
        </w:rPr>
        <w:t xml:space="preserve"> </w:t>
      </w:r>
      <w:r w:rsidRPr="00105BB0">
        <w:rPr>
          <w:color w:val="auto"/>
        </w:rPr>
        <w:t>(London: Architectural Association, 2015) 110-122.</w:t>
      </w:r>
    </w:p>
    <w:p w14:paraId="3C23C05B" w14:textId="77777777" w:rsidR="00A56ABB" w:rsidRPr="00105BB0" w:rsidRDefault="00A56ABB" w:rsidP="00FE6046">
      <w:pPr>
        <w:pStyle w:val="FootnoteText"/>
        <w:spacing w:line="240" w:lineRule="auto"/>
        <w:rPr>
          <w:sz w:val="18"/>
          <w:szCs w:val="18"/>
        </w:rPr>
      </w:pPr>
    </w:p>
  </w:endnote>
  <w:endnote w:id="28">
    <w:p w14:paraId="7D6C18E5" w14:textId="2B36A76A" w:rsidR="00A56ABB" w:rsidRPr="00105BB0" w:rsidRDefault="00A56ABB" w:rsidP="00FE6046">
      <w:pPr>
        <w:spacing w:line="240" w:lineRule="auto"/>
        <w:rPr>
          <w:sz w:val="18"/>
          <w:szCs w:val="18"/>
        </w:rPr>
      </w:pPr>
      <w:r w:rsidRPr="00105BB0">
        <w:rPr>
          <w:rStyle w:val="EndnoteReference"/>
          <w:sz w:val="18"/>
          <w:szCs w:val="18"/>
        </w:rPr>
        <w:endnoteRef/>
      </w:r>
      <w:r w:rsidRPr="00105BB0">
        <w:rPr>
          <w:sz w:val="18"/>
          <w:szCs w:val="18"/>
        </w:rPr>
        <w:t xml:space="preserve"> Mylar, a metalized film (polymer film coated with a thin layer of metal, usually aluminum), offers a reflective silvery surface that is more lightweight and cost-effective than aluminum foil. Although typically used for decoration and food packaging, Mylar’s high-insulation properties made it popular with the aerospace industry (e.g., NASA uses it in its space suits), yet its flammable tendencies were eventually called into question by the airline industry.</w:t>
      </w:r>
    </w:p>
    <w:p w14:paraId="6AC15B48" w14:textId="77777777" w:rsidR="00A56ABB" w:rsidRPr="00105BB0" w:rsidRDefault="00A56ABB" w:rsidP="00FE6046">
      <w:pPr>
        <w:spacing w:line="240" w:lineRule="auto"/>
        <w:rPr>
          <w:sz w:val="18"/>
          <w:szCs w:val="18"/>
        </w:rPr>
      </w:pPr>
    </w:p>
  </w:endnote>
  <w:endnote w:id="29">
    <w:p w14:paraId="5B0E8252" w14:textId="337C2952" w:rsidR="00A56ABB" w:rsidRPr="00105BB0" w:rsidRDefault="00A56ABB" w:rsidP="007E1C7B">
      <w:pPr>
        <w:pStyle w:val="Footnote"/>
        <w:rPr>
          <w:color w:val="auto"/>
        </w:rPr>
      </w:pPr>
      <w:r w:rsidRPr="00105BB0">
        <w:rPr>
          <w:rStyle w:val="EndnoteReference"/>
          <w:color w:val="auto"/>
        </w:rPr>
        <w:endnoteRef/>
      </w:r>
      <w:r w:rsidRPr="00105BB0">
        <w:rPr>
          <w:color w:val="auto"/>
        </w:rPr>
        <w:t xml:space="preserve"> “More properly called the Inner Theater at the Pepsi-Cola Pavilion at Expo ‘70.  Prior to my arrival in LA, Alan and Chris were drawn into a group of scientists and artists working with the EAT group in New York. The problem with the LA group, they didn’t have anyone who knew how to build anything. The outcome was that Alan and Chris took things over in a very benevolent way to build the inner theater of the Pepsi-Cola Pavilion at Expo 70.” Joe Valerio, em</w:t>
      </w:r>
      <w:r>
        <w:rPr>
          <w:color w:val="auto"/>
        </w:rPr>
        <w:t>ail correspondence with author, 07 July 2016</w:t>
      </w:r>
      <w:r w:rsidRPr="00105BB0">
        <w:rPr>
          <w:color w:val="auto"/>
        </w:rPr>
        <w:t>.</w:t>
      </w:r>
    </w:p>
    <w:p w14:paraId="56AA5C81" w14:textId="77777777" w:rsidR="00A56ABB" w:rsidRPr="00105BB0" w:rsidRDefault="00A56ABB" w:rsidP="00FE6046">
      <w:pPr>
        <w:pStyle w:val="FootnoteText"/>
        <w:spacing w:line="240" w:lineRule="auto"/>
        <w:rPr>
          <w:sz w:val="18"/>
          <w:szCs w:val="18"/>
        </w:rPr>
      </w:pPr>
    </w:p>
  </w:endnote>
  <w:endnote w:id="30">
    <w:p w14:paraId="5CCAACA3" w14:textId="19E8C005" w:rsidR="00A56ABB" w:rsidRPr="00105BB0" w:rsidRDefault="00A56ABB" w:rsidP="00FE6046">
      <w:pPr>
        <w:pStyle w:val="EndnoteText"/>
        <w:spacing w:line="240" w:lineRule="auto"/>
        <w:rPr>
          <w:sz w:val="18"/>
          <w:szCs w:val="18"/>
        </w:rPr>
      </w:pPr>
      <w:r w:rsidRPr="00105BB0">
        <w:rPr>
          <w:rStyle w:val="EndnoteReference"/>
          <w:sz w:val="18"/>
          <w:szCs w:val="18"/>
        </w:rPr>
        <w:endnoteRef/>
      </w:r>
      <w:r w:rsidRPr="00105BB0">
        <w:rPr>
          <w:sz w:val="18"/>
          <w:szCs w:val="18"/>
        </w:rPr>
        <w:t xml:space="preserve"> Lavin, “Poof (2006)” in </w:t>
      </w:r>
      <w:r w:rsidRPr="00105BB0">
        <w:rPr>
          <w:i/>
          <w:sz w:val="18"/>
          <w:szCs w:val="18"/>
        </w:rPr>
        <w:t xml:space="preserve">Flash in the Pan, </w:t>
      </w:r>
      <w:r w:rsidRPr="00105BB0">
        <w:rPr>
          <w:sz w:val="18"/>
          <w:szCs w:val="18"/>
        </w:rPr>
        <w:t>111.</w:t>
      </w:r>
    </w:p>
    <w:p w14:paraId="24BD7FA7" w14:textId="77777777" w:rsidR="00A56ABB" w:rsidRPr="00105BB0" w:rsidRDefault="00A56ABB" w:rsidP="00FE6046">
      <w:pPr>
        <w:pStyle w:val="EndnoteText"/>
        <w:spacing w:line="240" w:lineRule="auto"/>
        <w:rPr>
          <w:sz w:val="18"/>
          <w:szCs w:val="18"/>
        </w:rPr>
      </w:pPr>
    </w:p>
  </w:endnote>
  <w:endnote w:id="31">
    <w:p w14:paraId="78D20004" w14:textId="74465023" w:rsidR="00A56ABB" w:rsidRPr="00105BB0" w:rsidRDefault="00A56ABB" w:rsidP="00FE6046">
      <w:pPr>
        <w:pStyle w:val="EndnoteText"/>
        <w:spacing w:line="240" w:lineRule="auto"/>
        <w:rPr>
          <w:sz w:val="18"/>
          <w:szCs w:val="18"/>
        </w:rPr>
      </w:pPr>
      <w:r w:rsidRPr="00105BB0">
        <w:rPr>
          <w:rStyle w:val="EndnoteReference"/>
          <w:sz w:val="18"/>
          <w:szCs w:val="18"/>
        </w:rPr>
        <w:endnoteRef/>
      </w:r>
      <w:r w:rsidRPr="00105BB0">
        <w:rPr>
          <w:sz w:val="18"/>
          <w:szCs w:val="18"/>
        </w:rPr>
        <w:t xml:space="preserve"> Lindgren adds, “Moviemaker Eric Saarinen, who had been making films on artists, helped build the Mirror and began to shoot a movie of the project as well. The model domes were erected on the giant sound stage of an MGM movie studio, which the company had donated to the group.” </w:t>
      </w:r>
      <w:proofErr w:type="spellStart"/>
      <w:r w:rsidRPr="00105BB0">
        <w:rPr>
          <w:sz w:val="18"/>
          <w:szCs w:val="18"/>
        </w:rPr>
        <w:t>Nilo</w:t>
      </w:r>
      <w:proofErr w:type="spellEnd"/>
      <w:r w:rsidRPr="00105BB0">
        <w:rPr>
          <w:sz w:val="18"/>
          <w:szCs w:val="18"/>
        </w:rPr>
        <w:t xml:space="preserve"> Lindgren, “Into the Collaboration,” in </w:t>
      </w:r>
      <w:proofErr w:type="spellStart"/>
      <w:r w:rsidRPr="00105BB0">
        <w:rPr>
          <w:sz w:val="18"/>
          <w:szCs w:val="18"/>
        </w:rPr>
        <w:t>Klüver</w:t>
      </w:r>
      <w:proofErr w:type="spellEnd"/>
      <w:r w:rsidRPr="00105BB0">
        <w:rPr>
          <w:sz w:val="18"/>
          <w:szCs w:val="18"/>
        </w:rPr>
        <w:t xml:space="preserve">, Martin, Rose (eds.), </w:t>
      </w:r>
      <w:r w:rsidRPr="00105BB0">
        <w:rPr>
          <w:i/>
          <w:sz w:val="18"/>
          <w:szCs w:val="18"/>
        </w:rPr>
        <w:t xml:space="preserve">Pavilion </w:t>
      </w:r>
      <w:r w:rsidRPr="00105BB0">
        <w:rPr>
          <w:sz w:val="18"/>
          <w:szCs w:val="18"/>
        </w:rPr>
        <w:t>(New York: E.P. Dutton &amp; Co., 1972) 36.</w:t>
      </w:r>
    </w:p>
    <w:p w14:paraId="39305AD5" w14:textId="77777777" w:rsidR="00A56ABB" w:rsidRPr="00105BB0" w:rsidRDefault="00A56ABB" w:rsidP="00FE6046">
      <w:pPr>
        <w:pStyle w:val="EndnoteText"/>
        <w:spacing w:line="240" w:lineRule="auto"/>
        <w:rPr>
          <w:sz w:val="18"/>
          <w:szCs w:val="18"/>
        </w:rPr>
      </w:pPr>
    </w:p>
  </w:endnote>
  <w:endnote w:id="32">
    <w:p w14:paraId="217F920A" w14:textId="1D5C0A60" w:rsidR="00A56ABB" w:rsidRPr="00105BB0" w:rsidRDefault="00A56ABB" w:rsidP="00FE6046">
      <w:pPr>
        <w:pStyle w:val="EndnoteText"/>
        <w:spacing w:line="240" w:lineRule="auto"/>
        <w:rPr>
          <w:sz w:val="18"/>
          <w:szCs w:val="18"/>
        </w:rPr>
      </w:pPr>
      <w:r w:rsidRPr="00105BB0">
        <w:rPr>
          <w:rStyle w:val="EndnoteReference"/>
          <w:sz w:val="18"/>
          <w:szCs w:val="18"/>
        </w:rPr>
        <w:endnoteRef/>
      </w:r>
      <w:r w:rsidRPr="00105BB0">
        <w:rPr>
          <w:sz w:val="18"/>
          <w:szCs w:val="18"/>
        </w:rPr>
        <w:t xml:space="preserve"> Lindgren provides a clear account of this transition from </w:t>
      </w:r>
      <w:proofErr w:type="spellStart"/>
      <w:r w:rsidRPr="00105BB0">
        <w:rPr>
          <w:sz w:val="18"/>
          <w:szCs w:val="18"/>
        </w:rPr>
        <w:t>Envirolab</w:t>
      </w:r>
      <w:proofErr w:type="spellEnd"/>
      <w:r w:rsidRPr="00105BB0">
        <w:rPr>
          <w:sz w:val="18"/>
          <w:szCs w:val="18"/>
        </w:rPr>
        <w:t xml:space="preserve"> to G.T. </w:t>
      </w:r>
      <w:proofErr w:type="spellStart"/>
      <w:r w:rsidRPr="00105BB0">
        <w:rPr>
          <w:sz w:val="18"/>
          <w:szCs w:val="18"/>
        </w:rPr>
        <w:t>Schjeldahl</w:t>
      </w:r>
      <w:proofErr w:type="spellEnd"/>
      <w:r w:rsidRPr="00105BB0">
        <w:rPr>
          <w:sz w:val="18"/>
          <w:szCs w:val="18"/>
        </w:rPr>
        <w:t xml:space="preserve">. “The small model simply did not convey an impression of what would really happen inside the full-scale ninety-foot Mirror. After discussions, it was agreed to push ahead to make a full-scale inflatable mirror structure, a project clearly beyond the means of the Los Angeles group.” Lindgren, “Into the Collaboration,” in </w:t>
      </w:r>
      <w:r w:rsidRPr="00105BB0">
        <w:rPr>
          <w:i/>
          <w:sz w:val="18"/>
          <w:szCs w:val="18"/>
        </w:rPr>
        <w:t xml:space="preserve">Pavilion </w:t>
      </w:r>
      <w:r w:rsidRPr="00105BB0">
        <w:rPr>
          <w:sz w:val="18"/>
          <w:szCs w:val="18"/>
        </w:rPr>
        <w:t xml:space="preserve">(New York: E.P. Dutton &amp; Co., 1972) 36. See also </w:t>
      </w:r>
      <w:proofErr w:type="spellStart"/>
      <w:r w:rsidRPr="00105BB0">
        <w:rPr>
          <w:sz w:val="18"/>
          <w:szCs w:val="18"/>
        </w:rPr>
        <w:t>Waisuta</w:t>
      </w:r>
      <w:proofErr w:type="spellEnd"/>
      <w:r w:rsidRPr="00105BB0">
        <w:rPr>
          <w:sz w:val="18"/>
          <w:szCs w:val="18"/>
        </w:rPr>
        <w:t xml:space="preserve">, “E.A.T. in Osaka: Transducing Technology” in </w:t>
      </w:r>
      <w:r w:rsidRPr="00105BB0">
        <w:rPr>
          <w:i/>
          <w:sz w:val="18"/>
          <w:szCs w:val="18"/>
        </w:rPr>
        <w:t xml:space="preserve">Exhibiting Architecture: A </w:t>
      </w:r>
      <w:proofErr w:type="gramStart"/>
      <w:r w:rsidRPr="00105BB0">
        <w:rPr>
          <w:i/>
          <w:sz w:val="18"/>
          <w:szCs w:val="18"/>
        </w:rPr>
        <w:t>Paradox?,</w:t>
      </w:r>
      <w:proofErr w:type="gramEnd"/>
      <w:r w:rsidRPr="00105BB0">
        <w:rPr>
          <w:i/>
          <w:sz w:val="18"/>
          <w:szCs w:val="18"/>
        </w:rPr>
        <w:t xml:space="preserve"> </w:t>
      </w:r>
      <w:r w:rsidRPr="00105BB0">
        <w:rPr>
          <w:sz w:val="18"/>
          <w:szCs w:val="18"/>
        </w:rPr>
        <w:t>90.</w:t>
      </w:r>
    </w:p>
    <w:p w14:paraId="0088354E" w14:textId="77777777" w:rsidR="00A56ABB" w:rsidRPr="00105BB0" w:rsidRDefault="00A56ABB" w:rsidP="00FE6046">
      <w:pPr>
        <w:pStyle w:val="EndnoteText"/>
        <w:spacing w:line="240" w:lineRule="auto"/>
        <w:rPr>
          <w:sz w:val="18"/>
          <w:szCs w:val="18"/>
        </w:rPr>
      </w:pPr>
    </w:p>
  </w:endnote>
  <w:endnote w:id="33">
    <w:p w14:paraId="58506E2D" w14:textId="3C35A82E" w:rsidR="00A56ABB" w:rsidRPr="00105BB0" w:rsidRDefault="00A56ABB" w:rsidP="00FE6046">
      <w:pPr>
        <w:pStyle w:val="EndnoteText"/>
        <w:spacing w:line="240" w:lineRule="auto"/>
        <w:rPr>
          <w:sz w:val="18"/>
          <w:szCs w:val="18"/>
        </w:rPr>
      </w:pPr>
      <w:r w:rsidRPr="00105BB0">
        <w:rPr>
          <w:rStyle w:val="EndnoteReference"/>
          <w:sz w:val="18"/>
          <w:szCs w:val="18"/>
        </w:rPr>
        <w:endnoteRef/>
      </w:r>
      <w:r w:rsidRPr="00105BB0">
        <w:rPr>
          <w:sz w:val="18"/>
          <w:szCs w:val="18"/>
        </w:rPr>
        <w:t xml:space="preserve"> </w:t>
      </w:r>
      <w:proofErr w:type="spellStart"/>
      <w:r w:rsidRPr="00105BB0">
        <w:rPr>
          <w:sz w:val="18"/>
          <w:szCs w:val="18"/>
        </w:rPr>
        <w:t>Klüver</w:t>
      </w:r>
      <w:proofErr w:type="spellEnd"/>
      <w:r w:rsidRPr="00105BB0">
        <w:rPr>
          <w:sz w:val="18"/>
          <w:szCs w:val="18"/>
        </w:rPr>
        <w:t xml:space="preserve"> adds, “It used the inside reflective surface of a sphere for the first time. It is conceivable that this method of making a concave reflective surface could be used in making various types of antennas.” </w:t>
      </w:r>
      <w:proofErr w:type="spellStart"/>
      <w:r w:rsidRPr="00105BB0">
        <w:rPr>
          <w:sz w:val="18"/>
          <w:szCs w:val="18"/>
        </w:rPr>
        <w:t>Klüver</w:t>
      </w:r>
      <w:proofErr w:type="spellEnd"/>
      <w:r w:rsidRPr="00105BB0">
        <w:rPr>
          <w:sz w:val="18"/>
          <w:szCs w:val="18"/>
        </w:rPr>
        <w:t xml:space="preserve">, “The Pavilion” in </w:t>
      </w:r>
      <w:proofErr w:type="spellStart"/>
      <w:r w:rsidRPr="00105BB0">
        <w:rPr>
          <w:sz w:val="18"/>
          <w:szCs w:val="18"/>
        </w:rPr>
        <w:t>Klüver</w:t>
      </w:r>
      <w:proofErr w:type="spellEnd"/>
      <w:r w:rsidRPr="00105BB0">
        <w:rPr>
          <w:sz w:val="18"/>
          <w:szCs w:val="18"/>
        </w:rPr>
        <w:t xml:space="preserve">, Martin, Rose (eds.), </w:t>
      </w:r>
      <w:r w:rsidRPr="00105BB0">
        <w:rPr>
          <w:i/>
          <w:sz w:val="18"/>
          <w:szCs w:val="18"/>
        </w:rPr>
        <w:t>Pavilion</w:t>
      </w:r>
      <w:r>
        <w:rPr>
          <w:i/>
          <w:sz w:val="18"/>
          <w:szCs w:val="18"/>
        </w:rPr>
        <w:t xml:space="preserve">, </w:t>
      </w:r>
      <w:r w:rsidRPr="00105BB0">
        <w:rPr>
          <w:sz w:val="18"/>
          <w:szCs w:val="18"/>
        </w:rPr>
        <w:t>xii.</w:t>
      </w:r>
    </w:p>
    <w:p w14:paraId="2360FE32" w14:textId="77777777" w:rsidR="00A56ABB" w:rsidRPr="00105BB0" w:rsidRDefault="00A56ABB" w:rsidP="00FE6046">
      <w:pPr>
        <w:pStyle w:val="EndnoteText"/>
        <w:spacing w:line="240" w:lineRule="auto"/>
        <w:rPr>
          <w:sz w:val="18"/>
          <w:szCs w:val="18"/>
        </w:rPr>
      </w:pPr>
    </w:p>
  </w:endnote>
  <w:endnote w:id="34">
    <w:p w14:paraId="0FE5C31F" w14:textId="18AE17CA" w:rsidR="00A56ABB" w:rsidRPr="00105BB0" w:rsidRDefault="00A56ABB" w:rsidP="00FE604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For further reading on the Pepsi-Cola Pavilion, and the contributions of E.A.T., see Jimmy Stamp, “When </w:t>
      </w:r>
      <w:proofErr w:type="spellStart"/>
      <w:r w:rsidRPr="00105BB0">
        <w:rPr>
          <w:sz w:val="18"/>
          <w:szCs w:val="18"/>
        </w:rPr>
        <w:t>PepsiCola</w:t>
      </w:r>
      <w:proofErr w:type="spellEnd"/>
      <w:r w:rsidRPr="00105BB0">
        <w:rPr>
          <w:sz w:val="18"/>
          <w:szCs w:val="18"/>
        </w:rPr>
        <w:t xml:space="preserve"> Allowed a Team of Artists to Wreak Creative Havoc” in </w:t>
      </w:r>
      <w:r w:rsidRPr="00105BB0">
        <w:rPr>
          <w:i/>
          <w:sz w:val="18"/>
          <w:szCs w:val="18"/>
        </w:rPr>
        <w:t>Smithsonian Magazine</w:t>
      </w:r>
      <w:r w:rsidRPr="00105BB0">
        <w:rPr>
          <w:sz w:val="18"/>
          <w:szCs w:val="18"/>
        </w:rPr>
        <w:t xml:space="preserve">. http://www.smithsonianmag.com/arts-culture/when-pepsicola-allowed-a-team-of-artists-to-wreak-creative-havoc-109661/ (Accessed 22 March 2017); Sebastian Schumacher, “All You Can E.A.T.: The 1970 Pepsi Pavilion in Osaka,” in </w:t>
      </w:r>
      <w:proofErr w:type="spellStart"/>
      <w:r w:rsidRPr="00105BB0">
        <w:rPr>
          <w:i/>
          <w:sz w:val="18"/>
          <w:szCs w:val="18"/>
        </w:rPr>
        <w:t>Uncube</w:t>
      </w:r>
      <w:proofErr w:type="spellEnd"/>
      <w:r w:rsidRPr="00105BB0">
        <w:rPr>
          <w:i/>
          <w:sz w:val="18"/>
          <w:szCs w:val="18"/>
        </w:rPr>
        <w:t xml:space="preserve"> Magazine. </w:t>
      </w:r>
      <w:hyperlink r:id="rId2" w:history="1">
        <w:r w:rsidRPr="00105BB0">
          <w:rPr>
            <w:rStyle w:val="Hyperlink"/>
            <w:color w:val="auto"/>
            <w:sz w:val="18"/>
            <w:szCs w:val="18"/>
          </w:rPr>
          <w:t>http://www.uncubemagazine.com/blog/13753251</w:t>
        </w:r>
      </w:hyperlink>
      <w:r>
        <w:rPr>
          <w:sz w:val="18"/>
          <w:szCs w:val="18"/>
        </w:rPr>
        <w:t xml:space="preserve"> (a</w:t>
      </w:r>
      <w:r w:rsidRPr="00105BB0">
        <w:rPr>
          <w:sz w:val="18"/>
          <w:szCs w:val="18"/>
        </w:rPr>
        <w:t>ccessed 22 March 2017).</w:t>
      </w:r>
      <w:r w:rsidRPr="00105BB0">
        <w:rPr>
          <w:i/>
          <w:sz w:val="18"/>
          <w:szCs w:val="18"/>
        </w:rPr>
        <w:t xml:space="preserve"> </w:t>
      </w:r>
    </w:p>
    <w:p w14:paraId="171FCC43" w14:textId="77777777" w:rsidR="00A56ABB" w:rsidRPr="00105BB0" w:rsidRDefault="00A56ABB" w:rsidP="00FE6046">
      <w:pPr>
        <w:pStyle w:val="EndnoteText"/>
        <w:spacing w:line="240" w:lineRule="auto"/>
        <w:contextualSpacing/>
        <w:rPr>
          <w:sz w:val="18"/>
          <w:szCs w:val="18"/>
        </w:rPr>
      </w:pPr>
    </w:p>
  </w:endnote>
  <w:endnote w:id="35">
    <w:p w14:paraId="2459FBFD" w14:textId="439A5234" w:rsidR="00A56ABB" w:rsidRPr="00105BB0" w:rsidRDefault="00A56ABB" w:rsidP="0024249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For a thorough description of the Pepsi-Cola Pavilion, and a first-hand account of the optical and visual experience of entering into the mirrored inner inflatable dome, see “Experiments in Art and Technology—New York and other cities” in Jim Burns, </w:t>
      </w:r>
      <w:r w:rsidRPr="00105BB0">
        <w:rPr>
          <w:i/>
          <w:sz w:val="18"/>
          <w:szCs w:val="18"/>
        </w:rPr>
        <w:t xml:space="preserve">Arthropods: New Design Futures </w:t>
      </w:r>
      <w:r w:rsidRPr="00105BB0">
        <w:rPr>
          <w:sz w:val="18"/>
          <w:szCs w:val="18"/>
        </w:rPr>
        <w:t xml:space="preserve">(New York: </w:t>
      </w:r>
      <w:proofErr w:type="spellStart"/>
      <w:r w:rsidRPr="00105BB0">
        <w:rPr>
          <w:sz w:val="18"/>
          <w:szCs w:val="18"/>
        </w:rPr>
        <w:t>Praeger</w:t>
      </w:r>
      <w:proofErr w:type="spellEnd"/>
      <w:r w:rsidRPr="00105BB0">
        <w:rPr>
          <w:sz w:val="18"/>
          <w:szCs w:val="18"/>
        </w:rPr>
        <w:t>, 1972) 122-128.</w:t>
      </w:r>
    </w:p>
    <w:p w14:paraId="6878EDD1" w14:textId="77777777" w:rsidR="00A56ABB" w:rsidRPr="0033626B" w:rsidRDefault="00A56ABB" w:rsidP="00242496">
      <w:pPr>
        <w:pStyle w:val="EndnoteText"/>
        <w:spacing w:line="240" w:lineRule="auto"/>
        <w:contextualSpacing/>
        <w:rPr>
          <w:sz w:val="18"/>
          <w:szCs w:val="18"/>
        </w:rPr>
      </w:pPr>
    </w:p>
  </w:endnote>
  <w:endnote w:id="36">
    <w:p w14:paraId="168381C8" w14:textId="338DDABD" w:rsidR="00A56ABB" w:rsidRDefault="00A56ABB" w:rsidP="00242496">
      <w:pPr>
        <w:pStyle w:val="EndnoteText"/>
        <w:spacing w:line="240" w:lineRule="auto"/>
        <w:rPr>
          <w:sz w:val="18"/>
          <w:szCs w:val="18"/>
        </w:rPr>
      </w:pPr>
      <w:r w:rsidRPr="00242496">
        <w:rPr>
          <w:rStyle w:val="EndnoteReference"/>
          <w:sz w:val="18"/>
          <w:szCs w:val="18"/>
        </w:rPr>
        <w:endnoteRef/>
      </w:r>
      <w:r w:rsidRPr="00242496">
        <w:rPr>
          <w:sz w:val="18"/>
          <w:szCs w:val="18"/>
        </w:rPr>
        <w:t xml:space="preserve"> As Valerio explains, “With the success of the Mirror Dome, we were contacted by another studio to create a stage for the movie Myra Breckenridge.” Joe Valerio, email correspondence with author, 07 July 2016.</w:t>
      </w:r>
    </w:p>
    <w:p w14:paraId="640D5668" w14:textId="77777777" w:rsidR="00A56ABB" w:rsidRPr="00242496" w:rsidRDefault="00A56ABB" w:rsidP="00242496">
      <w:pPr>
        <w:pStyle w:val="EndnoteText"/>
        <w:spacing w:line="240" w:lineRule="auto"/>
        <w:rPr>
          <w:sz w:val="18"/>
          <w:szCs w:val="18"/>
        </w:rPr>
      </w:pPr>
    </w:p>
  </w:endnote>
  <w:endnote w:id="37">
    <w:p w14:paraId="032EE8ED" w14:textId="3DC071A6" w:rsidR="00A56ABB" w:rsidRPr="00242496" w:rsidRDefault="00A56ABB" w:rsidP="00242496">
      <w:pPr>
        <w:pStyle w:val="Footnote"/>
        <w:rPr>
          <w:color w:val="auto"/>
        </w:rPr>
      </w:pPr>
      <w:r w:rsidRPr="0033626B">
        <w:rPr>
          <w:rStyle w:val="EndnoteReference"/>
          <w:color w:val="auto"/>
        </w:rPr>
        <w:endnoteRef/>
      </w:r>
      <w:r w:rsidRPr="0033626B">
        <w:rPr>
          <w:color w:val="auto"/>
        </w:rPr>
        <w:t xml:space="preserve"> Project lead: Alan Stanton. </w:t>
      </w:r>
    </w:p>
    <w:p w14:paraId="3B82FE90" w14:textId="77777777" w:rsidR="00A56ABB" w:rsidRPr="00105BB0" w:rsidRDefault="00A56ABB" w:rsidP="004548B0">
      <w:pPr>
        <w:pStyle w:val="EndnoteText"/>
        <w:spacing w:line="240" w:lineRule="auto"/>
        <w:contextualSpacing/>
        <w:rPr>
          <w:sz w:val="18"/>
          <w:szCs w:val="18"/>
        </w:rPr>
      </w:pPr>
    </w:p>
  </w:endnote>
  <w:endnote w:id="38">
    <w:p w14:paraId="46555287" w14:textId="39EBEB80" w:rsidR="00A56ABB" w:rsidRPr="00105BB0" w:rsidRDefault="00A56ABB" w:rsidP="002C69E3">
      <w:pPr>
        <w:spacing w:line="240" w:lineRule="auto"/>
        <w:contextualSpacing/>
        <w:rPr>
          <w:sz w:val="18"/>
          <w:szCs w:val="18"/>
        </w:rPr>
      </w:pPr>
      <w:r w:rsidRPr="00105BB0">
        <w:rPr>
          <w:rStyle w:val="EndnoteReference"/>
          <w:sz w:val="18"/>
          <w:szCs w:val="18"/>
        </w:rPr>
        <w:endnoteRef/>
      </w:r>
      <w:r w:rsidRPr="00105BB0">
        <w:rPr>
          <w:sz w:val="18"/>
          <w:szCs w:val="18"/>
        </w:rPr>
        <w:t xml:space="preserve"> The film also features Roger C. Carmel, Farrah Fawcett, John Huston, Roger </w:t>
      </w:r>
      <w:proofErr w:type="spellStart"/>
      <w:r w:rsidRPr="00105BB0">
        <w:rPr>
          <w:sz w:val="18"/>
          <w:szCs w:val="18"/>
        </w:rPr>
        <w:t>Herren</w:t>
      </w:r>
      <w:proofErr w:type="spellEnd"/>
      <w:r w:rsidRPr="00105BB0">
        <w:rPr>
          <w:sz w:val="18"/>
          <w:szCs w:val="18"/>
        </w:rPr>
        <w:t>, and Mae West.</w:t>
      </w:r>
    </w:p>
    <w:p w14:paraId="588F29C0" w14:textId="77777777" w:rsidR="00A56ABB" w:rsidRPr="00105BB0" w:rsidRDefault="00A56ABB" w:rsidP="003855CD">
      <w:pPr>
        <w:spacing w:line="240" w:lineRule="auto"/>
        <w:contextualSpacing/>
        <w:rPr>
          <w:sz w:val="18"/>
          <w:szCs w:val="18"/>
        </w:rPr>
      </w:pPr>
    </w:p>
  </w:endnote>
  <w:endnote w:id="39">
    <w:p w14:paraId="48C6467F" w14:textId="4B393186" w:rsidR="00A56ABB" w:rsidRPr="00105BB0" w:rsidRDefault="00A56ABB" w:rsidP="00914AA3">
      <w:pPr>
        <w:pStyle w:val="Footnote"/>
        <w:rPr>
          <w:color w:val="auto"/>
        </w:rPr>
      </w:pPr>
      <w:r w:rsidRPr="00105BB0">
        <w:rPr>
          <w:rStyle w:val="EndnoteReference"/>
          <w:color w:val="auto"/>
        </w:rPr>
        <w:endnoteRef/>
      </w:r>
      <w:r w:rsidRPr="00105BB0">
        <w:rPr>
          <w:color w:val="auto"/>
        </w:rPr>
        <w:t xml:space="preserve"> </w:t>
      </w:r>
      <w:r>
        <w:t>According to Valerio,</w:t>
      </w:r>
      <w:r w:rsidRPr="007D5B82">
        <w:t xml:space="preserve"> Welch refused to be photographed inside the mirrored inflatable dome because </w:t>
      </w:r>
      <w:r>
        <w:t>“</w:t>
      </w:r>
      <w:r w:rsidRPr="007D5B82">
        <w:t>she didn’t like how her nose looked</w:t>
      </w:r>
      <w:r>
        <w:t xml:space="preserve"> in its reflection</w:t>
      </w:r>
      <w:r w:rsidRPr="007D5B82">
        <w:t>.</w:t>
      </w:r>
      <w:r>
        <w:t>”</w:t>
      </w:r>
      <w:r w:rsidRPr="007D5B82">
        <w:t xml:space="preserve"> </w:t>
      </w:r>
      <w:r>
        <w:t>Apparently,</w:t>
      </w:r>
      <w:r w:rsidRPr="007D5B82">
        <w:t xml:space="preserve"> this caused a “major brouhaha” with the studio, but actor Rex Reed “loved the set.”</w:t>
      </w:r>
      <w:r>
        <w:t xml:space="preserve"> Joe</w:t>
      </w:r>
      <w:r w:rsidRPr="00105BB0" w:rsidDel="00242496">
        <w:rPr>
          <w:i/>
          <w:color w:val="auto"/>
        </w:rPr>
        <w:t xml:space="preserve"> </w:t>
      </w:r>
      <w:r w:rsidRPr="00105BB0">
        <w:rPr>
          <w:color w:val="auto"/>
        </w:rPr>
        <w:t>Valerio, em</w:t>
      </w:r>
      <w:r>
        <w:rPr>
          <w:color w:val="auto"/>
        </w:rPr>
        <w:t>ail correspondence with author, 07 July 2016</w:t>
      </w:r>
      <w:r w:rsidRPr="00105BB0">
        <w:rPr>
          <w:color w:val="auto"/>
        </w:rPr>
        <w:t>.</w:t>
      </w:r>
    </w:p>
    <w:p w14:paraId="07418A23" w14:textId="77777777" w:rsidR="00A56ABB" w:rsidRPr="00105BB0" w:rsidRDefault="00A56ABB" w:rsidP="004014B2">
      <w:pPr>
        <w:pStyle w:val="FootnoteText"/>
        <w:spacing w:line="240" w:lineRule="auto"/>
        <w:contextualSpacing/>
        <w:rPr>
          <w:sz w:val="18"/>
          <w:szCs w:val="18"/>
        </w:rPr>
      </w:pPr>
    </w:p>
  </w:endnote>
  <w:endnote w:id="40">
    <w:p w14:paraId="5EC6461B" w14:textId="30AA7D2B" w:rsidR="00A56ABB" w:rsidRPr="00105BB0" w:rsidRDefault="00A56ABB" w:rsidP="007140C0">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Project lead: Alan Stanton.</w:t>
      </w:r>
    </w:p>
    <w:p w14:paraId="1790B48A" w14:textId="77777777" w:rsidR="00A56ABB" w:rsidRPr="00105BB0" w:rsidRDefault="00A56ABB" w:rsidP="00FE6046">
      <w:pPr>
        <w:pStyle w:val="EndnoteText"/>
        <w:spacing w:line="240" w:lineRule="auto"/>
        <w:contextualSpacing/>
        <w:rPr>
          <w:sz w:val="18"/>
          <w:szCs w:val="18"/>
        </w:rPr>
      </w:pPr>
    </w:p>
  </w:endnote>
  <w:endnote w:id="41">
    <w:p w14:paraId="3462F48D" w14:textId="77777777" w:rsidR="00A56ABB" w:rsidRPr="00105BB0" w:rsidRDefault="00A56ABB" w:rsidP="00FE6046">
      <w:pPr>
        <w:pStyle w:val="EndnoteText"/>
        <w:spacing w:line="240" w:lineRule="auto"/>
        <w:rPr>
          <w:sz w:val="18"/>
          <w:szCs w:val="18"/>
        </w:rPr>
      </w:pPr>
      <w:r w:rsidRPr="00105BB0">
        <w:rPr>
          <w:rStyle w:val="EndnoteReference"/>
          <w:sz w:val="18"/>
          <w:szCs w:val="18"/>
        </w:rPr>
        <w:endnoteRef/>
      </w:r>
      <w:r w:rsidRPr="00105BB0">
        <w:rPr>
          <w:sz w:val="18"/>
          <w:szCs w:val="18"/>
        </w:rPr>
        <w:t xml:space="preserve"> </w:t>
      </w:r>
      <w:proofErr w:type="spellStart"/>
      <w:r w:rsidRPr="00105BB0">
        <w:rPr>
          <w:sz w:val="18"/>
          <w:szCs w:val="18"/>
        </w:rPr>
        <w:t>Jantzen</w:t>
      </w:r>
      <w:proofErr w:type="spellEnd"/>
      <w:r w:rsidRPr="00105BB0">
        <w:rPr>
          <w:sz w:val="18"/>
          <w:szCs w:val="18"/>
        </w:rPr>
        <w:t xml:space="preserve">, whose own designs sought to express the contemporary woman, was also known for innovating with new materials and methods—the company began in 1910 as Portland Knitting Company, and earned acclaim within the rowing community for its warm and lightweight knitted wool bathing suits. In the 1970s, they expanded their swimsuit line into beachwear and active wear, and began to work with nylon and spandex. See </w:t>
      </w:r>
      <w:proofErr w:type="spellStart"/>
      <w:r w:rsidRPr="00105BB0">
        <w:rPr>
          <w:sz w:val="18"/>
          <w:szCs w:val="18"/>
        </w:rPr>
        <w:t>Jantzen</w:t>
      </w:r>
      <w:proofErr w:type="spellEnd"/>
      <w:r w:rsidRPr="00105BB0">
        <w:rPr>
          <w:sz w:val="18"/>
          <w:szCs w:val="18"/>
        </w:rPr>
        <w:t xml:space="preserve">, “Heritage,” </w:t>
      </w:r>
      <w:hyperlink r:id="rId3" w:history="1">
        <w:r w:rsidRPr="00105BB0">
          <w:rPr>
            <w:rStyle w:val="Hyperlink"/>
            <w:color w:val="auto"/>
            <w:sz w:val="18"/>
            <w:szCs w:val="18"/>
          </w:rPr>
          <w:t>http://www.jantzen.com/timeline.html</w:t>
        </w:r>
      </w:hyperlink>
      <w:r w:rsidRPr="00105BB0">
        <w:rPr>
          <w:sz w:val="18"/>
          <w:szCs w:val="18"/>
        </w:rPr>
        <w:t xml:space="preserve"> (accessed May 31, 2017).</w:t>
      </w:r>
    </w:p>
    <w:p w14:paraId="534C935F" w14:textId="77777777" w:rsidR="00A56ABB" w:rsidRPr="00105BB0" w:rsidRDefault="00A56ABB" w:rsidP="00FE6046">
      <w:pPr>
        <w:pStyle w:val="EndnoteText"/>
        <w:spacing w:line="240" w:lineRule="auto"/>
        <w:rPr>
          <w:sz w:val="18"/>
          <w:szCs w:val="18"/>
        </w:rPr>
      </w:pPr>
    </w:p>
  </w:endnote>
  <w:endnote w:id="42">
    <w:p w14:paraId="439410F3" w14:textId="43509A21" w:rsidR="00A56ABB" w:rsidRPr="006F226B" w:rsidRDefault="00A56ABB" w:rsidP="006F226B">
      <w:pPr>
        <w:pStyle w:val="EndnoteText"/>
        <w:spacing w:line="240" w:lineRule="auto"/>
        <w:rPr>
          <w:sz w:val="18"/>
          <w:szCs w:val="18"/>
        </w:rPr>
      </w:pPr>
      <w:r w:rsidRPr="006F226B">
        <w:rPr>
          <w:rStyle w:val="EndnoteReference"/>
          <w:sz w:val="18"/>
          <w:szCs w:val="18"/>
        </w:rPr>
        <w:endnoteRef/>
      </w:r>
      <w:r w:rsidRPr="006F226B">
        <w:rPr>
          <w:sz w:val="18"/>
          <w:szCs w:val="18"/>
        </w:rPr>
        <w:t xml:space="preserve"> Remarkably, </w:t>
      </w:r>
      <w:r w:rsidRPr="006F226B">
        <w:rPr>
          <w:i/>
          <w:sz w:val="18"/>
          <w:szCs w:val="18"/>
        </w:rPr>
        <w:t>Dodecahedron</w:t>
      </w:r>
      <w:r w:rsidRPr="007A711C">
        <w:rPr>
          <w:sz w:val="18"/>
          <w:szCs w:val="18"/>
        </w:rPr>
        <w:t xml:space="preserve"> (1970) anticipates by several years what is now commonly known as an </w:t>
      </w:r>
      <w:r w:rsidRPr="006F226B">
        <w:rPr>
          <w:sz w:val="18"/>
          <w:szCs w:val="18"/>
        </w:rPr>
        <w:t xml:space="preserve">ETFE (ethylene </w:t>
      </w:r>
      <w:proofErr w:type="spellStart"/>
      <w:r w:rsidRPr="006F226B">
        <w:rPr>
          <w:sz w:val="18"/>
          <w:szCs w:val="18"/>
        </w:rPr>
        <w:t>tetrafluoroethylene</w:t>
      </w:r>
      <w:proofErr w:type="spellEnd"/>
      <w:r w:rsidRPr="006F226B">
        <w:rPr>
          <w:sz w:val="18"/>
          <w:szCs w:val="18"/>
        </w:rPr>
        <w:t>) cushion system</w:t>
      </w:r>
      <w:r w:rsidRPr="007A711C">
        <w:rPr>
          <w:sz w:val="18"/>
          <w:szCs w:val="18"/>
        </w:rPr>
        <w:t xml:space="preserve">. Architect and </w:t>
      </w:r>
      <w:r>
        <w:rPr>
          <w:sz w:val="18"/>
          <w:szCs w:val="18"/>
        </w:rPr>
        <w:t>author</w:t>
      </w:r>
      <w:r w:rsidRPr="007A711C">
        <w:rPr>
          <w:sz w:val="18"/>
          <w:szCs w:val="18"/>
        </w:rPr>
        <w:t xml:space="preserve"> Annette </w:t>
      </w:r>
      <w:proofErr w:type="spellStart"/>
      <w:r w:rsidRPr="007A711C">
        <w:rPr>
          <w:sz w:val="18"/>
          <w:szCs w:val="18"/>
        </w:rPr>
        <w:t>Lecuyer</w:t>
      </w:r>
      <w:proofErr w:type="spellEnd"/>
      <w:r w:rsidRPr="007A711C">
        <w:rPr>
          <w:sz w:val="18"/>
          <w:szCs w:val="18"/>
        </w:rPr>
        <w:t xml:space="preserve"> </w:t>
      </w:r>
      <w:r>
        <w:rPr>
          <w:sz w:val="18"/>
          <w:szCs w:val="18"/>
        </w:rPr>
        <w:t xml:space="preserve">claims that it was not until 1973-74, as a result of the first oil crisis, that architectural interest in ETFE emerged. Yet, it would be another decade before field-testing would prove its efficacy as a permanent building material and system. In recent years, ETFE has come to be more widely accepted in the construction industry, although its status is still considered relatively novel. See Annette </w:t>
      </w:r>
      <w:proofErr w:type="spellStart"/>
      <w:r>
        <w:rPr>
          <w:sz w:val="18"/>
          <w:szCs w:val="18"/>
        </w:rPr>
        <w:t>Lecuyer</w:t>
      </w:r>
      <w:proofErr w:type="spellEnd"/>
      <w:r>
        <w:rPr>
          <w:sz w:val="18"/>
          <w:szCs w:val="18"/>
        </w:rPr>
        <w:t xml:space="preserve">, </w:t>
      </w:r>
      <w:r>
        <w:rPr>
          <w:i/>
          <w:sz w:val="18"/>
          <w:szCs w:val="18"/>
        </w:rPr>
        <w:t xml:space="preserve">ETFE: Technology and Design </w:t>
      </w:r>
      <w:r>
        <w:rPr>
          <w:sz w:val="18"/>
          <w:szCs w:val="18"/>
        </w:rPr>
        <w:t xml:space="preserve">(Basel/Boston/Berlin: </w:t>
      </w:r>
      <w:proofErr w:type="spellStart"/>
      <w:r>
        <w:rPr>
          <w:sz w:val="18"/>
          <w:szCs w:val="18"/>
        </w:rPr>
        <w:t>Birkhäuser</w:t>
      </w:r>
      <w:proofErr w:type="spellEnd"/>
      <w:r>
        <w:rPr>
          <w:sz w:val="18"/>
          <w:szCs w:val="18"/>
        </w:rPr>
        <w:t xml:space="preserve">, 2008) 32. </w:t>
      </w:r>
    </w:p>
    <w:p w14:paraId="25A47F95" w14:textId="77777777" w:rsidR="00A56ABB" w:rsidRDefault="00A56ABB" w:rsidP="006F226B">
      <w:pPr>
        <w:pStyle w:val="EndnoteText"/>
        <w:spacing w:line="240" w:lineRule="auto"/>
      </w:pPr>
    </w:p>
  </w:endnote>
  <w:endnote w:id="43">
    <w:p w14:paraId="1E08A5FD" w14:textId="32733049" w:rsidR="00A56ABB" w:rsidRPr="00105BB0" w:rsidRDefault="00A56ABB" w:rsidP="006F226B">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Commissioned by </w:t>
      </w:r>
      <w:r w:rsidRPr="00105BB0">
        <w:rPr>
          <w:i/>
          <w:sz w:val="18"/>
          <w:szCs w:val="18"/>
        </w:rPr>
        <w:t xml:space="preserve">AD </w:t>
      </w:r>
      <w:r w:rsidRPr="00105BB0">
        <w:rPr>
          <w:sz w:val="18"/>
          <w:szCs w:val="18"/>
        </w:rPr>
        <w:t>editor Monica Pidgeon, their feature article was a thorough compendium of lightweight pneumatic structures—possibly the most comprehensive to date. The “</w:t>
      </w:r>
      <w:proofErr w:type="spellStart"/>
      <w:r w:rsidRPr="00105BB0">
        <w:rPr>
          <w:sz w:val="18"/>
          <w:szCs w:val="18"/>
        </w:rPr>
        <w:t>Pneu</w:t>
      </w:r>
      <w:proofErr w:type="spellEnd"/>
      <w:r w:rsidRPr="00105BB0">
        <w:rPr>
          <w:sz w:val="18"/>
          <w:szCs w:val="18"/>
        </w:rPr>
        <w:t xml:space="preserve"> World” issue also featured an essay and works by the French student group </w:t>
      </w:r>
      <w:proofErr w:type="spellStart"/>
      <w:r w:rsidRPr="00105BB0">
        <w:rPr>
          <w:sz w:val="18"/>
          <w:szCs w:val="18"/>
        </w:rPr>
        <w:t>Utopie</w:t>
      </w:r>
      <w:proofErr w:type="spellEnd"/>
      <w:r w:rsidRPr="00105BB0">
        <w:rPr>
          <w:sz w:val="18"/>
          <w:szCs w:val="18"/>
        </w:rPr>
        <w:t xml:space="preserve">—whose theoretical (and material) investigations into pneumatics were featured in the exhibition ‘Structures </w:t>
      </w:r>
      <w:proofErr w:type="spellStart"/>
      <w:r w:rsidRPr="00105BB0">
        <w:rPr>
          <w:sz w:val="18"/>
          <w:szCs w:val="18"/>
        </w:rPr>
        <w:t>Gonflabes</w:t>
      </w:r>
      <w:proofErr w:type="spellEnd"/>
      <w:r w:rsidRPr="00105BB0">
        <w:rPr>
          <w:sz w:val="18"/>
          <w:szCs w:val="18"/>
        </w:rPr>
        <w:t xml:space="preserve">’ at the </w:t>
      </w:r>
      <w:proofErr w:type="spellStart"/>
      <w:r w:rsidRPr="00105BB0">
        <w:rPr>
          <w:sz w:val="18"/>
          <w:szCs w:val="18"/>
        </w:rPr>
        <w:t>Musee</w:t>
      </w:r>
      <w:proofErr w:type="spellEnd"/>
      <w:r w:rsidRPr="00105BB0">
        <w:rPr>
          <w:sz w:val="18"/>
          <w:szCs w:val="18"/>
        </w:rPr>
        <w:t xml:space="preserve"> d’art modern in Paris in March 1968. Simon </w:t>
      </w:r>
      <w:proofErr w:type="spellStart"/>
      <w:r w:rsidRPr="00105BB0">
        <w:rPr>
          <w:sz w:val="18"/>
          <w:szCs w:val="18"/>
        </w:rPr>
        <w:t>Connoly</w:t>
      </w:r>
      <w:proofErr w:type="spellEnd"/>
      <w:r w:rsidRPr="00105BB0">
        <w:rPr>
          <w:sz w:val="18"/>
          <w:szCs w:val="18"/>
        </w:rPr>
        <w:t>, Mike Davies, Johnny Devas, David Harrison and Dave Martin, “</w:t>
      </w:r>
      <w:proofErr w:type="spellStart"/>
      <w:r w:rsidRPr="00105BB0">
        <w:rPr>
          <w:sz w:val="18"/>
          <w:szCs w:val="18"/>
        </w:rPr>
        <w:t>Pneu</w:t>
      </w:r>
      <w:proofErr w:type="spellEnd"/>
      <w:r w:rsidRPr="00105BB0">
        <w:rPr>
          <w:sz w:val="18"/>
          <w:szCs w:val="18"/>
        </w:rPr>
        <w:t xml:space="preserve"> World,” in </w:t>
      </w:r>
      <w:r w:rsidRPr="00105BB0">
        <w:rPr>
          <w:i/>
          <w:sz w:val="18"/>
          <w:szCs w:val="18"/>
        </w:rPr>
        <w:t xml:space="preserve">Architectural Design </w:t>
      </w:r>
      <w:r w:rsidRPr="00105BB0">
        <w:rPr>
          <w:sz w:val="18"/>
          <w:szCs w:val="18"/>
        </w:rPr>
        <w:t xml:space="preserve">(June 1968) 257-272. See also Beatriz </w:t>
      </w:r>
      <w:proofErr w:type="spellStart"/>
      <w:r w:rsidRPr="00105BB0">
        <w:rPr>
          <w:sz w:val="18"/>
          <w:szCs w:val="18"/>
        </w:rPr>
        <w:t>Colomina</w:t>
      </w:r>
      <w:proofErr w:type="spellEnd"/>
      <w:r w:rsidRPr="00105BB0">
        <w:rPr>
          <w:sz w:val="18"/>
          <w:szCs w:val="18"/>
        </w:rPr>
        <w:t xml:space="preserve"> and Craig Buckley (Eds.), </w:t>
      </w:r>
      <w:r w:rsidRPr="00105BB0">
        <w:rPr>
          <w:i/>
          <w:sz w:val="18"/>
          <w:szCs w:val="18"/>
        </w:rPr>
        <w:t xml:space="preserve">Clip Stamp Fold: The Radical Architecture of Little Magazines, 196X to 197X </w:t>
      </w:r>
      <w:r w:rsidRPr="00105BB0">
        <w:rPr>
          <w:sz w:val="18"/>
          <w:szCs w:val="18"/>
        </w:rPr>
        <w:t xml:space="preserve">(Barcelona: </w:t>
      </w:r>
      <w:proofErr w:type="spellStart"/>
      <w:r w:rsidRPr="00105BB0">
        <w:rPr>
          <w:sz w:val="18"/>
          <w:szCs w:val="18"/>
        </w:rPr>
        <w:t>Actar</w:t>
      </w:r>
      <w:proofErr w:type="spellEnd"/>
      <w:r w:rsidRPr="00105BB0">
        <w:rPr>
          <w:sz w:val="18"/>
          <w:szCs w:val="18"/>
        </w:rPr>
        <w:t xml:space="preserve"> and Media and Modernity Program Princeton University, 2010) 106.</w:t>
      </w:r>
    </w:p>
    <w:p w14:paraId="1366E69F" w14:textId="77777777" w:rsidR="00A56ABB" w:rsidRPr="00105BB0" w:rsidRDefault="00A56ABB" w:rsidP="00FE6046">
      <w:pPr>
        <w:pStyle w:val="EndnoteText"/>
        <w:spacing w:line="240" w:lineRule="auto"/>
        <w:contextualSpacing/>
        <w:rPr>
          <w:sz w:val="18"/>
          <w:szCs w:val="18"/>
        </w:rPr>
      </w:pPr>
    </w:p>
  </w:endnote>
  <w:endnote w:id="44">
    <w:p w14:paraId="430742FB" w14:textId="55E61D8D" w:rsidR="00A56ABB" w:rsidRPr="00105BB0" w:rsidRDefault="00A56ABB" w:rsidP="00FE604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w:t>
      </w:r>
      <w:proofErr w:type="spellStart"/>
      <w:r w:rsidRPr="00105BB0">
        <w:rPr>
          <w:sz w:val="18"/>
          <w:szCs w:val="18"/>
        </w:rPr>
        <w:t>Connoly</w:t>
      </w:r>
      <w:proofErr w:type="spellEnd"/>
      <w:r w:rsidRPr="00105BB0">
        <w:rPr>
          <w:sz w:val="18"/>
          <w:szCs w:val="18"/>
        </w:rPr>
        <w:t xml:space="preserve">, Davies, Devas, </w:t>
      </w:r>
      <w:proofErr w:type="spellStart"/>
      <w:r w:rsidRPr="00105BB0">
        <w:rPr>
          <w:sz w:val="18"/>
          <w:szCs w:val="18"/>
        </w:rPr>
        <w:t>DaHarrison</w:t>
      </w:r>
      <w:proofErr w:type="spellEnd"/>
      <w:r w:rsidRPr="00105BB0">
        <w:rPr>
          <w:sz w:val="18"/>
          <w:szCs w:val="18"/>
        </w:rPr>
        <w:t xml:space="preserve"> and Martin, “</w:t>
      </w:r>
      <w:proofErr w:type="spellStart"/>
      <w:r w:rsidRPr="00105BB0">
        <w:rPr>
          <w:sz w:val="18"/>
          <w:szCs w:val="18"/>
        </w:rPr>
        <w:t>Pneu</w:t>
      </w:r>
      <w:proofErr w:type="spellEnd"/>
      <w:r w:rsidRPr="00105BB0">
        <w:rPr>
          <w:sz w:val="18"/>
          <w:szCs w:val="18"/>
        </w:rPr>
        <w:t xml:space="preserve"> World,” in </w:t>
      </w:r>
      <w:r w:rsidRPr="00105BB0">
        <w:rPr>
          <w:i/>
          <w:sz w:val="18"/>
          <w:szCs w:val="18"/>
        </w:rPr>
        <w:t xml:space="preserve">Architectural Design </w:t>
      </w:r>
      <w:r w:rsidRPr="00105BB0">
        <w:rPr>
          <w:sz w:val="18"/>
          <w:szCs w:val="18"/>
        </w:rPr>
        <w:t>(June 1968) 268.</w:t>
      </w:r>
    </w:p>
    <w:p w14:paraId="394AE157" w14:textId="6F163BF6" w:rsidR="00A56ABB" w:rsidRPr="00105BB0" w:rsidRDefault="00A56ABB" w:rsidP="00FE6046">
      <w:pPr>
        <w:pStyle w:val="EndnoteText"/>
        <w:spacing w:line="240" w:lineRule="auto"/>
        <w:contextualSpacing/>
        <w:rPr>
          <w:sz w:val="18"/>
          <w:szCs w:val="18"/>
        </w:rPr>
      </w:pPr>
    </w:p>
  </w:endnote>
  <w:endnote w:id="45">
    <w:p w14:paraId="5AB3B513" w14:textId="235DD7EB" w:rsidR="00A56ABB" w:rsidRPr="00105BB0" w:rsidRDefault="00A56ABB" w:rsidP="00FE604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w:t>
      </w:r>
      <w:proofErr w:type="spellStart"/>
      <w:r w:rsidRPr="00105BB0">
        <w:rPr>
          <w:sz w:val="18"/>
          <w:szCs w:val="18"/>
        </w:rPr>
        <w:t>Connoly</w:t>
      </w:r>
      <w:proofErr w:type="spellEnd"/>
      <w:r w:rsidRPr="00105BB0">
        <w:rPr>
          <w:sz w:val="18"/>
          <w:szCs w:val="18"/>
        </w:rPr>
        <w:t xml:space="preserve">, Davies, Devas, </w:t>
      </w:r>
      <w:proofErr w:type="spellStart"/>
      <w:r w:rsidRPr="00105BB0">
        <w:rPr>
          <w:sz w:val="18"/>
          <w:szCs w:val="18"/>
        </w:rPr>
        <w:t>DaHarrison</w:t>
      </w:r>
      <w:proofErr w:type="spellEnd"/>
      <w:r w:rsidRPr="00105BB0">
        <w:rPr>
          <w:sz w:val="18"/>
          <w:szCs w:val="18"/>
        </w:rPr>
        <w:t xml:space="preserve"> and Martin, “</w:t>
      </w:r>
      <w:proofErr w:type="spellStart"/>
      <w:r w:rsidRPr="00105BB0">
        <w:rPr>
          <w:sz w:val="18"/>
          <w:szCs w:val="18"/>
        </w:rPr>
        <w:t>Pneu</w:t>
      </w:r>
      <w:proofErr w:type="spellEnd"/>
      <w:r w:rsidRPr="00105BB0">
        <w:rPr>
          <w:sz w:val="18"/>
          <w:szCs w:val="18"/>
        </w:rPr>
        <w:t xml:space="preserve"> World,” 268.</w:t>
      </w:r>
    </w:p>
    <w:p w14:paraId="3B368D84" w14:textId="77777777" w:rsidR="00A56ABB" w:rsidRPr="00105BB0" w:rsidRDefault="00A56ABB" w:rsidP="00FE6046">
      <w:pPr>
        <w:pStyle w:val="EndnoteText"/>
        <w:spacing w:line="240" w:lineRule="auto"/>
        <w:contextualSpacing/>
        <w:rPr>
          <w:sz w:val="18"/>
          <w:szCs w:val="18"/>
        </w:rPr>
      </w:pPr>
    </w:p>
  </w:endnote>
  <w:endnote w:id="46">
    <w:p w14:paraId="770FEC1C" w14:textId="62311787" w:rsidR="00A56ABB" w:rsidRPr="00105BB0" w:rsidRDefault="00A56ABB" w:rsidP="00FE604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w:t>
      </w:r>
      <w:proofErr w:type="spellStart"/>
      <w:r w:rsidRPr="00105BB0">
        <w:rPr>
          <w:sz w:val="18"/>
          <w:szCs w:val="18"/>
        </w:rPr>
        <w:t>Connoly</w:t>
      </w:r>
      <w:proofErr w:type="spellEnd"/>
      <w:r w:rsidRPr="00105BB0">
        <w:rPr>
          <w:sz w:val="18"/>
          <w:szCs w:val="18"/>
        </w:rPr>
        <w:t xml:space="preserve">, Davies, Devas, </w:t>
      </w:r>
      <w:proofErr w:type="spellStart"/>
      <w:r w:rsidRPr="00105BB0">
        <w:rPr>
          <w:sz w:val="18"/>
          <w:szCs w:val="18"/>
        </w:rPr>
        <w:t>DaHarrison</w:t>
      </w:r>
      <w:proofErr w:type="spellEnd"/>
      <w:r w:rsidRPr="00105BB0">
        <w:rPr>
          <w:sz w:val="18"/>
          <w:szCs w:val="18"/>
        </w:rPr>
        <w:t xml:space="preserve"> and Martin, 267-268.</w:t>
      </w:r>
    </w:p>
    <w:p w14:paraId="38E1F844" w14:textId="77777777" w:rsidR="00A56ABB" w:rsidRPr="00105BB0" w:rsidRDefault="00A56ABB" w:rsidP="00FE6046">
      <w:pPr>
        <w:pStyle w:val="EndnoteText"/>
        <w:spacing w:line="240" w:lineRule="auto"/>
        <w:contextualSpacing/>
        <w:rPr>
          <w:sz w:val="18"/>
          <w:szCs w:val="18"/>
        </w:rPr>
      </w:pPr>
    </w:p>
  </w:endnote>
  <w:endnote w:id="47">
    <w:p w14:paraId="0E296105" w14:textId="7440811C" w:rsidR="00A56ABB" w:rsidRPr="00105BB0" w:rsidRDefault="00A56ABB" w:rsidP="00FE604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Ibid., 267. Additionally, it should be noted that Laing’s pneumatically operated walls, which incorporated folding films inside cylindrical air chambers to mediate between transmission and reflection, anticipated what is now referred to as a triple-layer ETFE </w:t>
      </w:r>
      <w:r w:rsidRPr="00105BB0">
        <w:rPr>
          <w:rFonts w:cs="Arial"/>
          <w:sz w:val="18"/>
          <w:szCs w:val="18"/>
        </w:rPr>
        <w:t xml:space="preserve">(Ethylene </w:t>
      </w:r>
      <w:proofErr w:type="spellStart"/>
      <w:r w:rsidRPr="00105BB0">
        <w:rPr>
          <w:rFonts w:cs="Arial"/>
          <w:sz w:val="18"/>
          <w:szCs w:val="18"/>
        </w:rPr>
        <w:t>Tetrafluoroethylene</w:t>
      </w:r>
      <w:proofErr w:type="spellEnd"/>
      <w:r w:rsidRPr="00105BB0">
        <w:rPr>
          <w:rFonts w:cs="Arial"/>
          <w:sz w:val="18"/>
          <w:szCs w:val="18"/>
        </w:rPr>
        <w:t xml:space="preserve">) </w:t>
      </w:r>
      <w:r w:rsidRPr="00105BB0">
        <w:rPr>
          <w:sz w:val="18"/>
          <w:szCs w:val="18"/>
        </w:rPr>
        <w:t xml:space="preserve">system, where a third interior layer of a pneumatic pillow is capable of modulating its degree of transparency or opacity. For further reading on the history, development and contemporary architectural applications of ETFE, see Annette </w:t>
      </w:r>
      <w:proofErr w:type="spellStart"/>
      <w:r w:rsidRPr="00105BB0">
        <w:rPr>
          <w:sz w:val="18"/>
          <w:szCs w:val="18"/>
        </w:rPr>
        <w:t>LeCuyer</w:t>
      </w:r>
      <w:proofErr w:type="spellEnd"/>
      <w:r w:rsidRPr="00105BB0">
        <w:rPr>
          <w:sz w:val="18"/>
          <w:szCs w:val="18"/>
        </w:rPr>
        <w:t xml:space="preserve">, </w:t>
      </w:r>
      <w:r w:rsidRPr="00105BB0">
        <w:rPr>
          <w:i/>
          <w:sz w:val="18"/>
          <w:szCs w:val="18"/>
        </w:rPr>
        <w:t xml:space="preserve">ETFE: Design and Technology </w:t>
      </w:r>
      <w:r w:rsidRPr="00105BB0">
        <w:rPr>
          <w:sz w:val="18"/>
          <w:szCs w:val="18"/>
        </w:rPr>
        <w:t xml:space="preserve">(Basel: </w:t>
      </w:r>
      <w:proofErr w:type="spellStart"/>
      <w:r w:rsidRPr="00105BB0">
        <w:rPr>
          <w:sz w:val="18"/>
          <w:szCs w:val="18"/>
        </w:rPr>
        <w:t>Birkhäuser</w:t>
      </w:r>
      <w:proofErr w:type="spellEnd"/>
      <w:r w:rsidRPr="00105BB0">
        <w:rPr>
          <w:sz w:val="18"/>
          <w:szCs w:val="18"/>
        </w:rPr>
        <w:t xml:space="preserve"> </w:t>
      </w:r>
      <w:proofErr w:type="spellStart"/>
      <w:r w:rsidRPr="00105BB0">
        <w:rPr>
          <w:sz w:val="18"/>
          <w:szCs w:val="18"/>
        </w:rPr>
        <w:t>Verlag</w:t>
      </w:r>
      <w:proofErr w:type="spellEnd"/>
      <w:r w:rsidRPr="00105BB0">
        <w:rPr>
          <w:sz w:val="18"/>
          <w:szCs w:val="18"/>
        </w:rPr>
        <w:t xml:space="preserve"> AG, 2006).</w:t>
      </w:r>
    </w:p>
    <w:p w14:paraId="647BAE1E" w14:textId="77777777" w:rsidR="00A56ABB" w:rsidRPr="00105BB0" w:rsidRDefault="00A56ABB" w:rsidP="00FE6046">
      <w:pPr>
        <w:pStyle w:val="EndnoteText"/>
        <w:spacing w:line="240" w:lineRule="auto"/>
        <w:contextualSpacing/>
        <w:rPr>
          <w:sz w:val="18"/>
          <w:szCs w:val="18"/>
        </w:rPr>
      </w:pPr>
    </w:p>
  </w:endnote>
  <w:endnote w:id="48">
    <w:p w14:paraId="3E4D8855" w14:textId="106088FC" w:rsidR="00A56ABB" w:rsidRPr="00105BB0" w:rsidRDefault="00A56ABB" w:rsidP="00FE604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w:t>
      </w:r>
      <w:r>
        <w:rPr>
          <w:sz w:val="18"/>
          <w:szCs w:val="18"/>
        </w:rPr>
        <w:t xml:space="preserve">Joe </w:t>
      </w:r>
      <w:r w:rsidRPr="00105BB0">
        <w:rPr>
          <w:sz w:val="18"/>
          <w:szCs w:val="18"/>
        </w:rPr>
        <w:t>Valerio, in conversation with the author, 06 October 2016.</w:t>
      </w:r>
    </w:p>
    <w:p w14:paraId="38F183E9" w14:textId="77777777" w:rsidR="00A56ABB" w:rsidRPr="00105BB0" w:rsidRDefault="00A56ABB" w:rsidP="00FE6046">
      <w:pPr>
        <w:pStyle w:val="EndnoteText"/>
        <w:spacing w:line="240" w:lineRule="auto"/>
        <w:contextualSpacing/>
        <w:rPr>
          <w:sz w:val="18"/>
          <w:szCs w:val="18"/>
        </w:rPr>
      </w:pPr>
    </w:p>
  </w:endnote>
  <w:endnote w:id="49">
    <w:p w14:paraId="38B25B5E" w14:textId="15E8D0B2" w:rsidR="00A56ABB" w:rsidRPr="00105BB0" w:rsidRDefault="00A56ABB" w:rsidP="00FE604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w:t>
      </w:r>
      <w:r>
        <w:rPr>
          <w:sz w:val="18"/>
          <w:szCs w:val="18"/>
        </w:rPr>
        <w:t>Ibid.</w:t>
      </w:r>
    </w:p>
    <w:p w14:paraId="2D67EDD5" w14:textId="77777777" w:rsidR="00A56ABB" w:rsidRPr="00105BB0" w:rsidRDefault="00A56ABB" w:rsidP="00FE6046">
      <w:pPr>
        <w:pStyle w:val="EndnoteText"/>
        <w:spacing w:line="240" w:lineRule="auto"/>
        <w:contextualSpacing/>
        <w:rPr>
          <w:sz w:val="18"/>
          <w:szCs w:val="18"/>
        </w:rPr>
      </w:pPr>
    </w:p>
  </w:endnote>
  <w:endnote w:id="50">
    <w:p w14:paraId="4AD1B5DE" w14:textId="6E3BCEA1" w:rsidR="00A56ABB" w:rsidRPr="00105BB0" w:rsidRDefault="00A56ABB" w:rsidP="00FE604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Project lead: Alan Stanton.</w:t>
      </w:r>
    </w:p>
    <w:p w14:paraId="797A55EE" w14:textId="77777777" w:rsidR="00A56ABB" w:rsidRPr="00105BB0" w:rsidRDefault="00A56ABB" w:rsidP="00FE6046">
      <w:pPr>
        <w:pStyle w:val="EndnoteText"/>
        <w:spacing w:line="240" w:lineRule="auto"/>
        <w:contextualSpacing/>
        <w:rPr>
          <w:sz w:val="18"/>
          <w:szCs w:val="18"/>
        </w:rPr>
      </w:pPr>
    </w:p>
  </w:endnote>
  <w:endnote w:id="51">
    <w:p w14:paraId="01AC6357" w14:textId="1D6BC320" w:rsidR="00A56ABB" w:rsidRPr="00105BB0" w:rsidRDefault="00A56ABB" w:rsidP="004548B0">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w:t>
      </w:r>
      <w:r w:rsidRPr="00105BB0">
        <w:rPr>
          <w:i/>
          <w:sz w:val="18"/>
          <w:szCs w:val="18"/>
        </w:rPr>
        <w:t xml:space="preserve">Difficult but Possible Supplement, </w:t>
      </w:r>
      <w:r w:rsidRPr="00105BB0">
        <w:rPr>
          <w:sz w:val="18"/>
          <w:szCs w:val="18"/>
        </w:rPr>
        <w:t>January 1971 (</w:t>
      </w:r>
      <w:r>
        <w:rPr>
          <w:sz w:val="18"/>
          <w:szCs w:val="18"/>
        </w:rPr>
        <w:t xml:space="preserve">Menlo Park, CA: </w:t>
      </w:r>
      <w:r w:rsidRPr="00105BB0">
        <w:rPr>
          <w:sz w:val="18"/>
          <w:szCs w:val="18"/>
        </w:rPr>
        <w:t xml:space="preserve">Portola Institute). It should be noted that the cover of this supplement is not labeled as “Difficult but Possible,” but rather “Truth, Consequences,” although </w:t>
      </w:r>
      <w:r>
        <w:rPr>
          <w:sz w:val="18"/>
          <w:szCs w:val="18"/>
        </w:rPr>
        <w:t xml:space="preserve">architectural historians </w:t>
      </w:r>
      <w:r w:rsidRPr="00105BB0">
        <w:rPr>
          <w:sz w:val="18"/>
          <w:szCs w:val="18"/>
        </w:rPr>
        <w:t xml:space="preserve">Felicity Scott and Caroline </w:t>
      </w:r>
      <w:proofErr w:type="spellStart"/>
      <w:r w:rsidRPr="00105BB0">
        <w:rPr>
          <w:sz w:val="18"/>
          <w:szCs w:val="18"/>
        </w:rPr>
        <w:t>Maniaque</w:t>
      </w:r>
      <w:proofErr w:type="spellEnd"/>
      <w:r w:rsidRPr="00105BB0">
        <w:rPr>
          <w:sz w:val="18"/>
          <w:szCs w:val="18"/>
        </w:rPr>
        <w:t xml:space="preserve">-Benton </w:t>
      </w:r>
      <w:r>
        <w:rPr>
          <w:sz w:val="18"/>
          <w:szCs w:val="18"/>
        </w:rPr>
        <w:t xml:space="preserve">both </w:t>
      </w:r>
      <w:r w:rsidRPr="00105BB0">
        <w:rPr>
          <w:sz w:val="18"/>
          <w:szCs w:val="18"/>
        </w:rPr>
        <w:t xml:space="preserve">refer to it as the former. See Felicity D. </w:t>
      </w:r>
      <w:proofErr w:type="gramStart"/>
      <w:r w:rsidRPr="00105BB0">
        <w:rPr>
          <w:sz w:val="18"/>
          <w:szCs w:val="18"/>
        </w:rPr>
        <w:t>Scott ,</w:t>
      </w:r>
      <w:proofErr w:type="gramEnd"/>
      <w:r w:rsidRPr="00105BB0">
        <w:rPr>
          <w:sz w:val="18"/>
          <w:szCs w:val="18"/>
        </w:rPr>
        <w:t xml:space="preserve"> </w:t>
      </w:r>
      <w:r w:rsidRPr="00105BB0">
        <w:rPr>
          <w:i/>
          <w:sz w:val="18"/>
          <w:szCs w:val="18"/>
        </w:rPr>
        <w:t xml:space="preserve">Living Archive 7: Ant Farm </w:t>
      </w:r>
      <w:r w:rsidRPr="00105BB0">
        <w:rPr>
          <w:sz w:val="18"/>
          <w:szCs w:val="18"/>
        </w:rPr>
        <w:t xml:space="preserve">(Barcelona/New York: </w:t>
      </w:r>
      <w:proofErr w:type="spellStart"/>
      <w:r w:rsidRPr="00105BB0">
        <w:rPr>
          <w:sz w:val="18"/>
          <w:szCs w:val="18"/>
        </w:rPr>
        <w:t>Actar</w:t>
      </w:r>
      <w:proofErr w:type="spellEnd"/>
      <w:r w:rsidRPr="00105BB0">
        <w:rPr>
          <w:sz w:val="18"/>
          <w:szCs w:val="18"/>
        </w:rPr>
        <w:t xml:space="preserve">, 2008) 81-85; Caroline </w:t>
      </w:r>
      <w:proofErr w:type="spellStart"/>
      <w:r w:rsidRPr="00105BB0">
        <w:rPr>
          <w:sz w:val="18"/>
          <w:szCs w:val="18"/>
        </w:rPr>
        <w:t>Maniaque</w:t>
      </w:r>
      <w:proofErr w:type="spellEnd"/>
      <w:r w:rsidRPr="00105BB0">
        <w:rPr>
          <w:sz w:val="18"/>
          <w:szCs w:val="18"/>
        </w:rPr>
        <w:t xml:space="preserve">-Benton (ed.), </w:t>
      </w:r>
      <w:r w:rsidRPr="00105BB0">
        <w:rPr>
          <w:i/>
          <w:sz w:val="18"/>
          <w:szCs w:val="18"/>
        </w:rPr>
        <w:t xml:space="preserve">Whole Earth Field Guide </w:t>
      </w:r>
      <w:r w:rsidRPr="00105BB0">
        <w:rPr>
          <w:sz w:val="18"/>
          <w:szCs w:val="18"/>
        </w:rPr>
        <w:t>(Cambridge, Mass.: MIT Press, 2016) 38-40.</w:t>
      </w:r>
    </w:p>
    <w:p w14:paraId="4D6BB67A" w14:textId="77777777" w:rsidR="00A56ABB" w:rsidRPr="00105BB0" w:rsidRDefault="00A56ABB" w:rsidP="004548B0">
      <w:pPr>
        <w:pStyle w:val="EndnoteText"/>
        <w:spacing w:line="240" w:lineRule="auto"/>
        <w:contextualSpacing/>
        <w:rPr>
          <w:sz w:val="18"/>
          <w:szCs w:val="18"/>
        </w:rPr>
      </w:pPr>
    </w:p>
  </w:endnote>
  <w:endnote w:id="52">
    <w:p w14:paraId="2622A583" w14:textId="42E7D68B" w:rsidR="00A56ABB" w:rsidRPr="00105BB0" w:rsidRDefault="00A56ABB" w:rsidP="00FE604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“My love-hate relationship with inflatables is in full bloom here,” Brand writes. “They’re trippy, cheap, light, imaginative space, not architecture at all. They’re terrible to work in. The blazing redundant surfaces disorient. One wallows in space. When the sun goes behind a cloud you cease cooking an</w:t>
      </w:r>
      <w:r>
        <w:rPr>
          <w:sz w:val="18"/>
          <w:szCs w:val="18"/>
        </w:rPr>
        <w:t>d immediately start freezing. (A</w:t>
      </w:r>
      <w:r w:rsidRPr="00105BB0">
        <w:rPr>
          <w:sz w:val="18"/>
          <w:szCs w:val="18"/>
        </w:rPr>
        <w:t xml:space="preserve">nt Farm is working on insulation schemes.) To counteract the cold Fred hung heat lamps from the ceiling which ascended and descended with variation in pillow pressure. Here, during blower adjustment, my light is busy scorching the floor. Environmentally, what an inflatable is best at is protecting you from a gentle rain, not a problem here.” Stewart Brand, “Production in the Desert,” 42. It should be noted that Brand’s account of the event was similarly captured about six months later in </w:t>
      </w:r>
      <w:r>
        <w:rPr>
          <w:i/>
          <w:sz w:val="18"/>
          <w:szCs w:val="18"/>
        </w:rPr>
        <w:t>The Last Whole Earth Catalog,</w:t>
      </w:r>
      <w:r w:rsidRPr="00105BB0">
        <w:rPr>
          <w:sz w:val="18"/>
          <w:szCs w:val="18"/>
        </w:rPr>
        <w:t xml:space="preserve"> June 1971</w:t>
      </w:r>
      <w:r>
        <w:rPr>
          <w:sz w:val="18"/>
          <w:szCs w:val="18"/>
        </w:rPr>
        <w:t>,</w:t>
      </w:r>
      <w:r w:rsidRPr="00105BB0">
        <w:rPr>
          <w:sz w:val="18"/>
          <w:szCs w:val="18"/>
        </w:rPr>
        <w:t xml:space="preserve"> 107.</w:t>
      </w:r>
    </w:p>
    <w:p w14:paraId="719C1CCD" w14:textId="77777777" w:rsidR="00A56ABB" w:rsidRPr="00105BB0" w:rsidRDefault="00A56ABB" w:rsidP="00FE6046">
      <w:pPr>
        <w:pStyle w:val="EndnoteText"/>
        <w:spacing w:line="240" w:lineRule="auto"/>
        <w:contextualSpacing/>
        <w:rPr>
          <w:sz w:val="18"/>
          <w:szCs w:val="18"/>
        </w:rPr>
      </w:pPr>
    </w:p>
  </w:endnote>
  <w:endnote w:id="53">
    <w:p w14:paraId="7DFE6B73" w14:textId="529EE05C" w:rsidR="00A56ABB" w:rsidRPr="00105BB0" w:rsidRDefault="00A56ABB" w:rsidP="00FE604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Davies, “Exploring, rehearsing, delivering” in </w:t>
      </w:r>
      <w:r w:rsidRPr="00105BB0">
        <w:rPr>
          <w:i/>
          <w:sz w:val="18"/>
          <w:szCs w:val="18"/>
        </w:rPr>
        <w:t xml:space="preserve">Innovation in Architecture, </w:t>
      </w:r>
      <w:r w:rsidRPr="00105BB0">
        <w:rPr>
          <w:sz w:val="18"/>
          <w:szCs w:val="18"/>
        </w:rPr>
        <w:t>19.</w:t>
      </w:r>
    </w:p>
    <w:p w14:paraId="246D1058" w14:textId="77777777" w:rsidR="00A56ABB" w:rsidRPr="00105BB0" w:rsidRDefault="00A56ABB" w:rsidP="00FE6046">
      <w:pPr>
        <w:pStyle w:val="EndnoteText"/>
        <w:spacing w:line="240" w:lineRule="auto"/>
        <w:contextualSpacing/>
        <w:rPr>
          <w:sz w:val="18"/>
          <w:szCs w:val="18"/>
        </w:rPr>
      </w:pPr>
    </w:p>
  </w:endnote>
  <w:endnote w:id="54">
    <w:p w14:paraId="3F8D6544" w14:textId="53AADCA5" w:rsidR="00A56ABB" w:rsidRPr="00105BB0" w:rsidRDefault="00A56ABB" w:rsidP="00FE604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Davies, “Exploring, rehearsing, delivering</w:t>
      </w:r>
      <w:r>
        <w:rPr>
          <w:sz w:val="18"/>
          <w:szCs w:val="18"/>
        </w:rPr>
        <w:t>,</w:t>
      </w:r>
      <w:r w:rsidRPr="00105BB0">
        <w:rPr>
          <w:sz w:val="18"/>
          <w:szCs w:val="18"/>
        </w:rPr>
        <w:t>”19.</w:t>
      </w:r>
    </w:p>
    <w:p w14:paraId="2E72ADC2" w14:textId="77777777" w:rsidR="00A56ABB" w:rsidRPr="00105BB0" w:rsidRDefault="00A56ABB" w:rsidP="00FE6046">
      <w:pPr>
        <w:pStyle w:val="EndnoteText"/>
        <w:spacing w:line="240" w:lineRule="auto"/>
        <w:contextualSpacing/>
        <w:rPr>
          <w:sz w:val="18"/>
          <w:szCs w:val="18"/>
        </w:rPr>
      </w:pPr>
    </w:p>
  </w:endnote>
  <w:endnote w:id="55">
    <w:p w14:paraId="00ADE88A" w14:textId="5CDF906A" w:rsidR="00A56ABB" w:rsidRPr="00105BB0" w:rsidRDefault="00A56ABB" w:rsidP="001124FD">
      <w:pPr>
        <w:pStyle w:val="Quotation"/>
        <w:ind w:left="0"/>
        <w:contextualSpacing/>
        <w:rPr>
          <w:szCs w:val="18"/>
        </w:rPr>
      </w:pPr>
      <w:r w:rsidRPr="00105BB0">
        <w:rPr>
          <w:rStyle w:val="EndnoteReference"/>
          <w:szCs w:val="18"/>
        </w:rPr>
        <w:endnoteRef/>
      </w:r>
      <w:r w:rsidRPr="00105BB0">
        <w:rPr>
          <w:szCs w:val="18"/>
        </w:rPr>
        <w:t xml:space="preserve"> “All these experiments gave us confidence and an understanding of construction and environmental engineering in the sense that, despite the fact that we were struggling with the boundaries, we were learning, imagining, creating and moving forward, achieving things. We built inflatable structures where the margin between comfort and discomfort is very slight; where small differences have big effects...” Davies, 21.</w:t>
      </w:r>
    </w:p>
    <w:p w14:paraId="1346BF83" w14:textId="77777777" w:rsidR="00A56ABB" w:rsidRPr="00105BB0" w:rsidRDefault="00A56ABB" w:rsidP="001124FD">
      <w:pPr>
        <w:spacing w:line="240" w:lineRule="auto"/>
      </w:pPr>
    </w:p>
  </w:endnote>
  <w:endnote w:id="56">
    <w:p w14:paraId="04B776A0" w14:textId="64BA2664" w:rsidR="00A56ABB" w:rsidRPr="00105BB0" w:rsidRDefault="00A56ABB" w:rsidP="00FE604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Joe Valerio, email corres</w:t>
      </w:r>
      <w:r>
        <w:rPr>
          <w:sz w:val="18"/>
          <w:szCs w:val="18"/>
        </w:rPr>
        <w:t>pondence with author, 07 July 2016</w:t>
      </w:r>
      <w:r w:rsidRPr="00105BB0">
        <w:rPr>
          <w:sz w:val="18"/>
          <w:szCs w:val="18"/>
        </w:rPr>
        <w:t>.</w:t>
      </w:r>
    </w:p>
    <w:p w14:paraId="0D4E8EE7" w14:textId="77777777" w:rsidR="00A56ABB" w:rsidRPr="00105BB0" w:rsidRDefault="00A56ABB" w:rsidP="00FE6046">
      <w:pPr>
        <w:pStyle w:val="EndnoteText"/>
        <w:spacing w:line="240" w:lineRule="auto"/>
        <w:contextualSpacing/>
        <w:rPr>
          <w:sz w:val="18"/>
          <w:szCs w:val="18"/>
        </w:rPr>
      </w:pPr>
    </w:p>
  </w:endnote>
  <w:endnote w:id="57">
    <w:p w14:paraId="079FB5CE" w14:textId="744C55BD" w:rsidR="00A56ABB" w:rsidRPr="00105BB0" w:rsidRDefault="00A56ABB" w:rsidP="00FE604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w:t>
      </w:r>
      <w:r>
        <w:rPr>
          <w:sz w:val="18"/>
          <w:szCs w:val="18"/>
        </w:rPr>
        <w:t>Ibid.</w:t>
      </w:r>
    </w:p>
    <w:p w14:paraId="150E54F7" w14:textId="77777777" w:rsidR="00A56ABB" w:rsidRPr="00105BB0" w:rsidRDefault="00A56ABB" w:rsidP="00FE6046">
      <w:pPr>
        <w:pStyle w:val="EndnoteText"/>
        <w:spacing w:line="240" w:lineRule="auto"/>
        <w:contextualSpacing/>
        <w:rPr>
          <w:sz w:val="18"/>
          <w:szCs w:val="18"/>
        </w:rPr>
      </w:pPr>
    </w:p>
  </w:endnote>
  <w:endnote w:id="58">
    <w:p w14:paraId="5A0D323B" w14:textId="77777777" w:rsidR="00A56ABB" w:rsidRPr="00105BB0" w:rsidRDefault="00A56ABB" w:rsidP="00FE604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“The Bubble House: A Rising Market” in </w:t>
      </w:r>
      <w:r w:rsidRPr="00105BB0">
        <w:rPr>
          <w:i/>
          <w:sz w:val="18"/>
          <w:szCs w:val="18"/>
        </w:rPr>
        <w:t>Playboy</w:t>
      </w:r>
      <w:r w:rsidRPr="00105BB0">
        <w:rPr>
          <w:sz w:val="18"/>
          <w:szCs w:val="18"/>
        </w:rPr>
        <w:t xml:space="preserve">, ‘Modern Living,’ Vol. 19, No. 4, (April 1972) 117. </w:t>
      </w:r>
    </w:p>
    <w:p w14:paraId="474CEF47" w14:textId="77777777" w:rsidR="00A56ABB" w:rsidRPr="00105BB0" w:rsidRDefault="00A56ABB" w:rsidP="00FE6046">
      <w:pPr>
        <w:pStyle w:val="EndnoteText"/>
        <w:spacing w:line="240" w:lineRule="auto"/>
        <w:contextualSpacing/>
        <w:rPr>
          <w:sz w:val="18"/>
          <w:szCs w:val="18"/>
        </w:rPr>
      </w:pPr>
    </w:p>
  </w:endnote>
  <w:endnote w:id="59">
    <w:p w14:paraId="217F92CF" w14:textId="2F822853" w:rsidR="00A56ABB" w:rsidRPr="00105BB0" w:rsidRDefault="00A56ABB" w:rsidP="00FE604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“The Bubble House: A Rising Market” in </w:t>
      </w:r>
      <w:r w:rsidRPr="00105BB0">
        <w:rPr>
          <w:i/>
          <w:sz w:val="18"/>
          <w:szCs w:val="18"/>
        </w:rPr>
        <w:t>Playboy</w:t>
      </w:r>
      <w:r w:rsidRPr="00105BB0">
        <w:rPr>
          <w:sz w:val="18"/>
          <w:szCs w:val="18"/>
        </w:rPr>
        <w:t xml:space="preserve">, 117. </w:t>
      </w:r>
    </w:p>
    <w:p w14:paraId="2DBFF5B9" w14:textId="77777777" w:rsidR="00A56ABB" w:rsidRPr="00105BB0" w:rsidRDefault="00A56ABB" w:rsidP="00FE6046">
      <w:pPr>
        <w:pStyle w:val="EndnoteText"/>
        <w:spacing w:line="240" w:lineRule="auto"/>
        <w:contextualSpacing/>
        <w:rPr>
          <w:sz w:val="18"/>
          <w:szCs w:val="18"/>
        </w:rPr>
      </w:pPr>
    </w:p>
  </w:endnote>
  <w:endnote w:id="60">
    <w:p w14:paraId="1EA16DE6" w14:textId="53AFBDFD" w:rsidR="00A56ABB" w:rsidRPr="00105BB0" w:rsidRDefault="00A56ABB" w:rsidP="00FE604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“The Bubble House: A Rising Market</w:t>
      </w:r>
      <w:r>
        <w:rPr>
          <w:sz w:val="18"/>
          <w:szCs w:val="18"/>
        </w:rPr>
        <w:t xml:space="preserve">,” </w:t>
      </w:r>
      <w:r w:rsidRPr="00105BB0">
        <w:rPr>
          <w:sz w:val="18"/>
          <w:szCs w:val="18"/>
        </w:rPr>
        <w:t xml:space="preserve">117. </w:t>
      </w:r>
    </w:p>
    <w:p w14:paraId="3201DA5C" w14:textId="77777777" w:rsidR="00A56ABB" w:rsidRPr="00105BB0" w:rsidRDefault="00A56ABB" w:rsidP="00FE6046">
      <w:pPr>
        <w:pStyle w:val="EndnoteText"/>
        <w:spacing w:line="240" w:lineRule="auto"/>
        <w:contextualSpacing/>
        <w:rPr>
          <w:sz w:val="18"/>
          <w:szCs w:val="18"/>
        </w:rPr>
      </w:pPr>
    </w:p>
  </w:endnote>
  <w:endnote w:id="61">
    <w:p w14:paraId="6669A324" w14:textId="31051FD9" w:rsidR="00A56ABB" w:rsidRPr="00105BB0" w:rsidRDefault="00A56ABB" w:rsidP="00FE604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Vanessa Grossman, “Chrysalis’s </w:t>
      </w:r>
      <w:proofErr w:type="spellStart"/>
      <w:r w:rsidRPr="00105BB0">
        <w:rPr>
          <w:sz w:val="18"/>
          <w:szCs w:val="18"/>
        </w:rPr>
        <w:t>Pneudome</w:t>
      </w:r>
      <w:proofErr w:type="spellEnd"/>
      <w:r w:rsidRPr="00105BB0">
        <w:rPr>
          <w:sz w:val="18"/>
          <w:szCs w:val="18"/>
        </w:rPr>
        <w:t xml:space="preserve">, A Bubble-Pad-Survival-Kit or London Meets L.A.” Edited by Beatriz </w:t>
      </w:r>
      <w:proofErr w:type="spellStart"/>
      <w:r w:rsidRPr="00105BB0">
        <w:rPr>
          <w:sz w:val="18"/>
          <w:szCs w:val="18"/>
        </w:rPr>
        <w:t>Colomina</w:t>
      </w:r>
      <w:proofErr w:type="spellEnd"/>
      <w:r w:rsidRPr="00105BB0">
        <w:rPr>
          <w:sz w:val="18"/>
          <w:szCs w:val="18"/>
        </w:rPr>
        <w:t xml:space="preserve">, </w:t>
      </w:r>
      <w:r w:rsidRPr="00B650E2">
        <w:rPr>
          <w:i/>
          <w:sz w:val="18"/>
          <w:szCs w:val="18"/>
        </w:rPr>
        <w:t>Volume</w:t>
      </w:r>
      <w:r w:rsidRPr="00105BB0">
        <w:rPr>
          <w:sz w:val="18"/>
          <w:szCs w:val="18"/>
        </w:rPr>
        <w:t xml:space="preserve"> 33 (Fall 2012) 27.</w:t>
      </w:r>
    </w:p>
    <w:p w14:paraId="6B6C339E" w14:textId="77777777" w:rsidR="00A56ABB" w:rsidRPr="00105BB0" w:rsidRDefault="00A56ABB" w:rsidP="00FE6046">
      <w:pPr>
        <w:pStyle w:val="EndnoteText"/>
        <w:spacing w:line="240" w:lineRule="auto"/>
        <w:contextualSpacing/>
        <w:rPr>
          <w:sz w:val="18"/>
          <w:szCs w:val="18"/>
        </w:rPr>
      </w:pPr>
    </w:p>
  </w:endnote>
  <w:endnote w:id="62">
    <w:p w14:paraId="3A8DD3E9" w14:textId="7BDFF59E" w:rsidR="00A56ABB" w:rsidRPr="00105BB0" w:rsidRDefault="00A56ABB" w:rsidP="00FE604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“The Bubble House: A Rising Market</w:t>
      </w:r>
      <w:r>
        <w:rPr>
          <w:sz w:val="18"/>
          <w:szCs w:val="18"/>
        </w:rPr>
        <w:t>,</w:t>
      </w:r>
      <w:r w:rsidRPr="00105BB0">
        <w:rPr>
          <w:sz w:val="18"/>
          <w:szCs w:val="18"/>
        </w:rPr>
        <w:t xml:space="preserve">” 117. </w:t>
      </w:r>
    </w:p>
    <w:p w14:paraId="6E0755C0" w14:textId="77777777" w:rsidR="00A56ABB" w:rsidRPr="00105BB0" w:rsidRDefault="00A56ABB" w:rsidP="00FE6046">
      <w:pPr>
        <w:pStyle w:val="EndnoteText"/>
        <w:spacing w:line="240" w:lineRule="auto"/>
        <w:contextualSpacing/>
        <w:rPr>
          <w:sz w:val="18"/>
          <w:szCs w:val="18"/>
        </w:rPr>
      </w:pPr>
    </w:p>
  </w:endnote>
  <w:endnote w:id="63">
    <w:p w14:paraId="215DA9BE" w14:textId="7D727ED7" w:rsidR="00A56ABB" w:rsidRPr="00105BB0" w:rsidRDefault="00A56ABB" w:rsidP="00FE6046">
      <w:pPr>
        <w:pStyle w:val="EndnoteText"/>
        <w:spacing w:line="240" w:lineRule="auto"/>
        <w:rPr>
          <w:sz w:val="18"/>
          <w:szCs w:val="18"/>
        </w:rPr>
      </w:pPr>
      <w:r w:rsidRPr="00105BB0">
        <w:rPr>
          <w:rStyle w:val="EndnoteReference"/>
          <w:sz w:val="18"/>
          <w:szCs w:val="18"/>
        </w:rPr>
        <w:endnoteRef/>
      </w:r>
      <w:r w:rsidRPr="00105BB0">
        <w:rPr>
          <w:sz w:val="18"/>
          <w:szCs w:val="18"/>
        </w:rPr>
        <w:t xml:space="preserve"> Valerio, in conversation with the author, 06 October 2016.</w:t>
      </w:r>
    </w:p>
    <w:p w14:paraId="1C2DC328" w14:textId="77777777" w:rsidR="00A56ABB" w:rsidRPr="00105BB0" w:rsidRDefault="00A56ABB" w:rsidP="00FE6046">
      <w:pPr>
        <w:pStyle w:val="EndnoteText"/>
        <w:spacing w:line="240" w:lineRule="auto"/>
        <w:rPr>
          <w:sz w:val="18"/>
          <w:szCs w:val="18"/>
        </w:rPr>
      </w:pPr>
    </w:p>
  </w:endnote>
  <w:endnote w:id="64">
    <w:p w14:paraId="75AB8093" w14:textId="77777777" w:rsidR="00A56ABB" w:rsidRPr="00105BB0" w:rsidRDefault="00A56ABB" w:rsidP="00FE6046">
      <w:pPr>
        <w:widowControl w:val="0"/>
        <w:autoSpaceDE w:val="0"/>
        <w:autoSpaceDN w:val="0"/>
        <w:adjustRightInd w:val="0"/>
        <w:spacing w:line="240" w:lineRule="auto"/>
        <w:contextualSpacing/>
        <w:rPr>
          <w:rFonts w:cs="Times New Roman"/>
          <w:sz w:val="18"/>
          <w:szCs w:val="18"/>
        </w:rPr>
      </w:pPr>
      <w:r w:rsidRPr="00105BB0">
        <w:rPr>
          <w:rStyle w:val="EndnoteReference"/>
          <w:sz w:val="18"/>
          <w:szCs w:val="18"/>
        </w:rPr>
        <w:endnoteRef/>
      </w:r>
      <w:r w:rsidRPr="00105BB0">
        <w:rPr>
          <w:sz w:val="18"/>
          <w:szCs w:val="18"/>
        </w:rPr>
        <w:t xml:space="preserve"> </w:t>
      </w:r>
      <w:proofErr w:type="spellStart"/>
      <w:r w:rsidRPr="00105BB0">
        <w:rPr>
          <w:rFonts w:cs="Times New Roman"/>
          <w:i/>
          <w:sz w:val="18"/>
          <w:szCs w:val="18"/>
        </w:rPr>
        <w:t>Pneudome</w:t>
      </w:r>
      <w:proofErr w:type="spellEnd"/>
      <w:r w:rsidRPr="00105BB0">
        <w:rPr>
          <w:rFonts w:cs="Times New Roman"/>
          <w:i/>
          <w:sz w:val="18"/>
          <w:szCs w:val="18"/>
        </w:rPr>
        <w:t xml:space="preserve"> </w:t>
      </w:r>
      <w:r w:rsidRPr="00105BB0">
        <w:rPr>
          <w:rFonts w:cs="Times New Roman"/>
          <w:sz w:val="18"/>
          <w:szCs w:val="18"/>
        </w:rPr>
        <w:t xml:space="preserve">could also be customized, in terms of size and window area. </w:t>
      </w:r>
    </w:p>
    <w:p w14:paraId="4F7090BF" w14:textId="77777777" w:rsidR="00A56ABB" w:rsidRPr="00105BB0" w:rsidRDefault="00A56ABB" w:rsidP="00FE6046">
      <w:pPr>
        <w:widowControl w:val="0"/>
        <w:autoSpaceDE w:val="0"/>
        <w:autoSpaceDN w:val="0"/>
        <w:adjustRightInd w:val="0"/>
        <w:spacing w:line="240" w:lineRule="auto"/>
        <w:contextualSpacing/>
        <w:rPr>
          <w:rFonts w:cs="Times New Roman"/>
          <w:sz w:val="18"/>
          <w:szCs w:val="18"/>
        </w:rPr>
      </w:pPr>
    </w:p>
  </w:endnote>
  <w:endnote w:id="65">
    <w:p w14:paraId="7E9ADF16" w14:textId="38CB60DB" w:rsidR="00A56ABB" w:rsidRPr="00105BB0" w:rsidRDefault="00A56ABB" w:rsidP="00FE604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See Geiger, Ph.D., “Pneumatic Structures,” in </w:t>
      </w:r>
      <w:r w:rsidRPr="00105BB0">
        <w:rPr>
          <w:i/>
          <w:sz w:val="18"/>
          <w:szCs w:val="18"/>
        </w:rPr>
        <w:t xml:space="preserve">Progressive Architecture </w:t>
      </w:r>
      <w:r w:rsidRPr="00105BB0">
        <w:rPr>
          <w:sz w:val="18"/>
          <w:szCs w:val="18"/>
        </w:rPr>
        <w:t xml:space="preserve">(August 1972): 81-89. Chrysalis’s work, including </w:t>
      </w:r>
      <w:proofErr w:type="spellStart"/>
      <w:r w:rsidRPr="00105BB0">
        <w:rPr>
          <w:i/>
          <w:sz w:val="18"/>
          <w:szCs w:val="18"/>
        </w:rPr>
        <w:t>Pneudome</w:t>
      </w:r>
      <w:proofErr w:type="spellEnd"/>
      <w:r w:rsidRPr="00105BB0">
        <w:rPr>
          <w:i/>
          <w:sz w:val="18"/>
          <w:szCs w:val="18"/>
        </w:rPr>
        <w:t>,</w:t>
      </w:r>
      <w:r w:rsidRPr="00105BB0">
        <w:rPr>
          <w:sz w:val="18"/>
          <w:szCs w:val="18"/>
        </w:rPr>
        <w:t xml:space="preserve"> is featured on p</w:t>
      </w:r>
      <w:r>
        <w:rPr>
          <w:sz w:val="18"/>
          <w:szCs w:val="18"/>
        </w:rPr>
        <w:t>ages</w:t>
      </w:r>
      <w:r w:rsidRPr="00105BB0">
        <w:rPr>
          <w:sz w:val="18"/>
          <w:szCs w:val="18"/>
        </w:rPr>
        <w:t xml:space="preserve"> 87-89.</w:t>
      </w:r>
    </w:p>
    <w:p w14:paraId="5C91F1E1" w14:textId="77777777" w:rsidR="00A56ABB" w:rsidRPr="00105BB0" w:rsidRDefault="00A56ABB" w:rsidP="00FE6046">
      <w:pPr>
        <w:pStyle w:val="EndnoteText"/>
        <w:spacing w:line="240" w:lineRule="auto"/>
        <w:contextualSpacing/>
        <w:rPr>
          <w:sz w:val="18"/>
          <w:szCs w:val="18"/>
        </w:rPr>
      </w:pPr>
    </w:p>
  </w:endnote>
  <w:endnote w:id="66">
    <w:p w14:paraId="12141782" w14:textId="5973F127" w:rsidR="00A56ABB" w:rsidRPr="00105BB0" w:rsidRDefault="00A56ABB" w:rsidP="007E1C7B">
      <w:pPr>
        <w:pStyle w:val="Footnote"/>
        <w:rPr>
          <w:color w:val="auto"/>
        </w:rPr>
      </w:pPr>
      <w:r w:rsidRPr="00105BB0">
        <w:rPr>
          <w:rStyle w:val="EndnoteReference"/>
          <w:color w:val="auto"/>
        </w:rPr>
        <w:endnoteRef/>
      </w:r>
      <w:r w:rsidRPr="00105BB0">
        <w:rPr>
          <w:color w:val="auto"/>
        </w:rPr>
        <w:t xml:space="preserve"> According to Valerio, there was a large budget to do a plaza in front of the Pompidou and to fill it with pneumatics, but this was eventually cut for financial reasons. Joe Valerio, in conversation with the author, 11 March 2016.</w:t>
      </w:r>
    </w:p>
    <w:p w14:paraId="1D5D1B3A" w14:textId="77777777" w:rsidR="00A56ABB" w:rsidRPr="00105BB0" w:rsidRDefault="00A56ABB" w:rsidP="00FE6046">
      <w:pPr>
        <w:pStyle w:val="FootnoteText"/>
        <w:spacing w:line="240" w:lineRule="auto"/>
        <w:rPr>
          <w:sz w:val="18"/>
          <w:szCs w:val="18"/>
        </w:rPr>
      </w:pPr>
    </w:p>
  </w:endnote>
  <w:endnote w:id="67">
    <w:p w14:paraId="10F8B210" w14:textId="4C67DD76" w:rsidR="00A56ABB" w:rsidRPr="00105BB0" w:rsidRDefault="00A56ABB" w:rsidP="00FE604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Valerio was invited by </w:t>
      </w:r>
      <w:r w:rsidRPr="00105BB0">
        <w:rPr>
          <w:rFonts w:cs="Times New Roman"/>
          <w:sz w:val="18"/>
          <w:szCs w:val="18"/>
        </w:rPr>
        <w:t xml:space="preserve">Phillip </w:t>
      </w:r>
      <w:proofErr w:type="spellStart"/>
      <w:r w:rsidRPr="00105BB0">
        <w:rPr>
          <w:rFonts w:cs="Times New Roman"/>
          <w:sz w:val="18"/>
          <w:szCs w:val="18"/>
        </w:rPr>
        <w:t>Ritterbush</w:t>
      </w:r>
      <w:proofErr w:type="spellEnd"/>
      <w:r w:rsidRPr="00105BB0">
        <w:rPr>
          <w:sz w:val="18"/>
          <w:szCs w:val="18"/>
        </w:rPr>
        <w:t xml:space="preserve"> to work on an exhibition at </w:t>
      </w:r>
      <w:r>
        <w:rPr>
          <w:sz w:val="18"/>
          <w:szCs w:val="18"/>
        </w:rPr>
        <w:t>T</w:t>
      </w:r>
      <w:r w:rsidRPr="00105BB0">
        <w:rPr>
          <w:sz w:val="18"/>
          <w:szCs w:val="18"/>
        </w:rPr>
        <w:t>he Smithsonian. Around this time, Chrysalis was asked to develop a movie set for a picture that was never released. Valerio took the lead on the project—</w:t>
      </w:r>
      <w:r w:rsidRPr="00105BB0">
        <w:rPr>
          <w:i/>
          <w:sz w:val="18"/>
          <w:szCs w:val="18"/>
        </w:rPr>
        <w:t xml:space="preserve">Giantess </w:t>
      </w:r>
      <w:r w:rsidRPr="00105BB0">
        <w:rPr>
          <w:sz w:val="18"/>
          <w:szCs w:val="18"/>
        </w:rPr>
        <w:t>(1972)—an enormous, abstract inflatable female figure to be used as a supersized backdrop during a dialogue scene. Although the pneumatic set was completed, the film was never released. Joe Valerio, email correspondence with author</w:t>
      </w:r>
      <w:r>
        <w:rPr>
          <w:sz w:val="18"/>
          <w:szCs w:val="18"/>
        </w:rPr>
        <w:t>, 07 July 2016</w:t>
      </w:r>
      <w:r w:rsidRPr="00105BB0">
        <w:rPr>
          <w:sz w:val="18"/>
          <w:szCs w:val="18"/>
        </w:rPr>
        <w:t>.</w:t>
      </w:r>
    </w:p>
    <w:p w14:paraId="5CBCA010" w14:textId="77777777" w:rsidR="00A56ABB" w:rsidRPr="00105BB0" w:rsidRDefault="00A56ABB" w:rsidP="00FE6046">
      <w:pPr>
        <w:pStyle w:val="EndnoteText"/>
        <w:spacing w:line="240" w:lineRule="auto"/>
        <w:contextualSpacing/>
        <w:rPr>
          <w:sz w:val="18"/>
          <w:szCs w:val="18"/>
        </w:rPr>
      </w:pPr>
    </w:p>
  </w:endnote>
  <w:endnote w:id="68">
    <w:p w14:paraId="212A93AA" w14:textId="2C8B97D6" w:rsidR="00A56ABB" w:rsidRPr="00105BB0" w:rsidRDefault="00A56ABB" w:rsidP="00FE604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Valerio began teaching at UWM in January 1973. Valerio in conversation with the author, 06 October 2016.</w:t>
      </w:r>
    </w:p>
    <w:p w14:paraId="43A48747" w14:textId="77777777" w:rsidR="00A56ABB" w:rsidRPr="00105BB0" w:rsidRDefault="00A56ABB" w:rsidP="00FE6046">
      <w:pPr>
        <w:pStyle w:val="EndnoteText"/>
        <w:spacing w:line="240" w:lineRule="auto"/>
        <w:contextualSpacing/>
        <w:rPr>
          <w:sz w:val="18"/>
          <w:szCs w:val="18"/>
        </w:rPr>
      </w:pPr>
    </w:p>
  </w:endnote>
  <w:endnote w:id="69">
    <w:p w14:paraId="6F398F26" w14:textId="50BF9849" w:rsidR="00A56ABB" w:rsidRPr="00105BB0" w:rsidRDefault="00A56ABB" w:rsidP="00FE604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The Carnegie Institute client had seen Chrysalis’s work, featuring Joe Valerio, in the August 1972 issue of </w:t>
      </w:r>
      <w:r w:rsidRPr="00105BB0">
        <w:rPr>
          <w:i/>
          <w:sz w:val="18"/>
          <w:szCs w:val="18"/>
        </w:rPr>
        <w:t>Progressive Architecture</w:t>
      </w:r>
      <w:r w:rsidRPr="00105BB0">
        <w:rPr>
          <w:sz w:val="18"/>
          <w:szCs w:val="18"/>
        </w:rPr>
        <w:t xml:space="preserve">. </w:t>
      </w:r>
    </w:p>
    <w:p w14:paraId="1F379017" w14:textId="77777777" w:rsidR="00A56ABB" w:rsidRPr="00105BB0" w:rsidRDefault="00A56ABB" w:rsidP="00FE6046">
      <w:pPr>
        <w:pStyle w:val="EndnoteText"/>
        <w:spacing w:line="240" w:lineRule="auto"/>
        <w:contextualSpacing/>
        <w:rPr>
          <w:sz w:val="18"/>
          <w:szCs w:val="18"/>
        </w:rPr>
      </w:pPr>
    </w:p>
  </w:endnote>
  <w:endnote w:id="70">
    <w:p w14:paraId="081E2670" w14:textId="46FF8E73" w:rsidR="00A56ABB" w:rsidRPr="00105BB0" w:rsidRDefault="00A56ABB" w:rsidP="00FE604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The Three Rivers Festival Event structure was completed in 1975. The team: Joe Valerio, Kent Hubbell, Michael Szczawinski, </w:t>
      </w:r>
      <w:proofErr w:type="spellStart"/>
      <w:r w:rsidRPr="00105BB0">
        <w:rPr>
          <w:sz w:val="18"/>
          <w:szCs w:val="18"/>
        </w:rPr>
        <w:t>Aerovironment</w:t>
      </w:r>
      <w:proofErr w:type="spellEnd"/>
      <w:r w:rsidRPr="00105BB0">
        <w:rPr>
          <w:sz w:val="18"/>
          <w:szCs w:val="18"/>
        </w:rPr>
        <w:t xml:space="preserve">, Inc. (aeronautical engineering), Walter R. </w:t>
      </w:r>
      <w:proofErr w:type="spellStart"/>
      <w:r w:rsidRPr="00105BB0">
        <w:rPr>
          <w:sz w:val="18"/>
          <w:szCs w:val="18"/>
        </w:rPr>
        <w:t>Ratai</w:t>
      </w:r>
      <w:proofErr w:type="spellEnd"/>
      <w:r w:rsidRPr="00105BB0">
        <w:rPr>
          <w:sz w:val="18"/>
          <w:szCs w:val="18"/>
        </w:rPr>
        <w:t xml:space="preserve">, Inc. (m/e/p engineering). See Valerio, </w:t>
      </w:r>
      <w:r w:rsidRPr="00105BB0">
        <w:rPr>
          <w:i/>
          <w:sz w:val="18"/>
          <w:szCs w:val="18"/>
        </w:rPr>
        <w:t xml:space="preserve">Joe Valerio: Valerio </w:t>
      </w:r>
      <w:proofErr w:type="spellStart"/>
      <w:r w:rsidRPr="00105BB0">
        <w:rPr>
          <w:i/>
          <w:sz w:val="18"/>
          <w:szCs w:val="18"/>
        </w:rPr>
        <w:t>Dewalt</w:t>
      </w:r>
      <w:proofErr w:type="spellEnd"/>
      <w:r w:rsidRPr="00105BB0">
        <w:rPr>
          <w:i/>
          <w:sz w:val="18"/>
          <w:szCs w:val="18"/>
        </w:rPr>
        <w:t xml:space="preserve"> Train</w:t>
      </w:r>
      <w:r w:rsidRPr="00105BB0">
        <w:rPr>
          <w:sz w:val="18"/>
          <w:szCs w:val="18"/>
        </w:rPr>
        <w:t xml:space="preserve"> (New York: Rizzoli International, 1999) 61 &amp; 155.</w:t>
      </w:r>
    </w:p>
    <w:p w14:paraId="07B53A82" w14:textId="77777777" w:rsidR="00A56ABB" w:rsidRPr="00105BB0" w:rsidRDefault="00A56ABB" w:rsidP="00FE6046">
      <w:pPr>
        <w:pStyle w:val="EndnoteText"/>
        <w:spacing w:line="240" w:lineRule="auto"/>
        <w:contextualSpacing/>
        <w:rPr>
          <w:sz w:val="18"/>
          <w:szCs w:val="18"/>
        </w:rPr>
      </w:pPr>
    </w:p>
  </w:endnote>
  <w:endnote w:id="71">
    <w:p w14:paraId="53D5EBD5" w14:textId="1CE4B63E" w:rsidR="00A56ABB" w:rsidRPr="00105BB0" w:rsidRDefault="00A56ABB" w:rsidP="00FE604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Valerio, i</w:t>
      </w:r>
      <w:r>
        <w:rPr>
          <w:sz w:val="18"/>
          <w:szCs w:val="18"/>
        </w:rPr>
        <w:t>n conversation with the author, 06 October 2016</w:t>
      </w:r>
      <w:r w:rsidRPr="00105BB0">
        <w:rPr>
          <w:sz w:val="18"/>
          <w:szCs w:val="18"/>
        </w:rPr>
        <w:t>.</w:t>
      </w:r>
    </w:p>
    <w:p w14:paraId="50C519BA" w14:textId="77777777" w:rsidR="00A56ABB" w:rsidRPr="00105BB0" w:rsidRDefault="00A56ABB" w:rsidP="00FE6046">
      <w:pPr>
        <w:pStyle w:val="EndnoteText"/>
        <w:spacing w:line="240" w:lineRule="auto"/>
        <w:contextualSpacing/>
        <w:rPr>
          <w:sz w:val="18"/>
          <w:szCs w:val="18"/>
        </w:rPr>
      </w:pPr>
    </w:p>
  </w:endnote>
  <w:endnote w:id="72">
    <w:p w14:paraId="6746241A" w14:textId="0147F35D" w:rsidR="00A56ABB" w:rsidRPr="00105BB0" w:rsidRDefault="00A56ABB" w:rsidP="00FE604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Valerio, </w:t>
      </w:r>
      <w:r w:rsidRPr="00105BB0">
        <w:rPr>
          <w:i/>
          <w:sz w:val="18"/>
          <w:szCs w:val="18"/>
        </w:rPr>
        <w:t xml:space="preserve">Joe Valerio: Valerio </w:t>
      </w:r>
      <w:proofErr w:type="spellStart"/>
      <w:r w:rsidRPr="00105BB0">
        <w:rPr>
          <w:i/>
          <w:sz w:val="18"/>
          <w:szCs w:val="18"/>
        </w:rPr>
        <w:t>Dewalt</w:t>
      </w:r>
      <w:proofErr w:type="spellEnd"/>
      <w:r w:rsidRPr="00105BB0">
        <w:rPr>
          <w:i/>
          <w:sz w:val="18"/>
          <w:szCs w:val="18"/>
        </w:rPr>
        <w:t xml:space="preserve"> Train</w:t>
      </w:r>
      <w:r>
        <w:rPr>
          <w:sz w:val="18"/>
          <w:szCs w:val="18"/>
        </w:rPr>
        <w:t xml:space="preserve">, </w:t>
      </w:r>
      <w:r w:rsidRPr="00105BB0">
        <w:rPr>
          <w:sz w:val="18"/>
          <w:szCs w:val="18"/>
        </w:rPr>
        <w:t>61.</w:t>
      </w:r>
    </w:p>
    <w:p w14:paraId="471989B5" w14:textId="77777777" w:rsidR="00A56ABB" w:rsidRPr="00105BB0" w:rsidRDefault="00A56ABB" w:rsidP="00FE6046">
      <w:pPr>
        <w:pStyle w:val="EndnoteText"/>
        <w:spacing w:line="240" w:lineRule="auto"/>
        <w:contextualSpacing/>
        <w:rPr>
          <w:sz w:val="18"/>
          <w:szCs w:val="18"/>
        </w:rPr>
      </w:pPr>
    </w:p>
  </w:endnote>
  <w:endnote w:id="73">
    <w:p w14:paraId="3DBB63E8" w14:textId="56A10994" w:rsidR="00A56ABB" w:rsidRPr="00105BB0" w:rsidRDefault="00A56ABB" w:rsidP="00FE604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Valerio, 61.</w:t>
      </w:r>
    </w:p>
    <w:p w14:paraId="58F48FB9" w14:textId="77777777" w:rsidR="00A56ABB" w:rsidRPr="00105BB0" w:rsidRDefault="00A56ABB" w:rsidP="00FE6046">
      <w:pPr>
        <w:pStyle w:val="EndnoteText"/>
        <w:spacing w:line="240" w:lineRule="auto"/>
        <w:contextualSpacing/>
        <w:rPr>
          <w:sz w:val="18"/>
          <w:szCs w:val="18"/>
        </w:rPr>
      </w:pPr>
    </w:p>
  </w:endnote>
  <w:endnote w:id="74">
    <w:p w14:paraId="496FC74E" w14:textId="32E19039" w:rsidR="00A56ABB" w:rsidRPr="00105BB0" w:rsidRDefault="00A56ABB" w:rsidP="00FE6046">
      <w:pPr>
        <w:pStyle w:val="EndnoteText"/>
        <w:spacing w:line="240" w:lineRule="auto"/>
        <w:rPr>
          <w:sz w:val="18"/>
          <w:szCs w:val="18"/>
        </w:rPr>
      </w:pPr>
      <w:r w:rsidRPr="00105BB0">
        <w:rPr>
          <w:rStyle w:val="EndnoteReference"/>
          <w:sz w:val="18"/>
          <w:szCs w:val="18"/>
        </w:rPr>
        <w:endnoteRef/>
      </w:r>
      <w:r w:rsidRPr="00105BB0">
        <w:rPr>
          <w:sz w:val="18"/>
          <w:szCs w:val="18"/>
        </w:rPr>
        <w:t xml:space="preserve"> Giovanna </w:t>
      </w:r>
      <w:proofErr w:type="spellStart"/>
      <w:r w:rsidRPr="00105BB0">
        <w:rPr>
          <w:sz w:val="18"/>
          <w:szCs w:val="18"/>
        </w:rPr>
        <w:t>Borasi</w:t>
      </w:r>
      <w:proofErr w:type="spellEnd"/>
      <w:r w:rsidRPr="00105BB0">
        <w:rPr>
          <w:sz w:val="18"/>
          <w:szCs w:val="18"/>
        </w:rPr>
        <w:t xml:space="preserve"> and </w:t>
      </w:r>
      <w:proofErr w:type="spellStart"/>
      <w:r w:rsidRPr="00105BB0">
        <w:rPr>
          <w:sz w:val="18"/>
          <w:szCs w:val="18"/>
        </w:rPr>
        <w:t>Mirko</w:t>
      </w:r>
      <w:proofErr w:type="spellEnd"/>
      <w:r w:rsidRPr="00105BB0">
        <w:rPr>
          <w:sz w:val="18"/>
          <w:szCs w:val="18"/>
        </w:rPr>
        <w:t xml:space="preserve"> </w:t>
      </w:r>
      <w:proofErr w:type="spellStart"/>
      <w:r w:rsidRPr="00105BB0">
        <w:rPr>
          <w:sz w:val="18"/>
          <w:szCs w:val="18"/>
        </w:rPr>
        <w:t>Zardini</w:t>
      </w:r>
      <w:proofErr w:type="spellEnd"/>
      <w:r w:rsidRPr="00105BB0">
        <w:rPr>
          <w:sz w:val="18"/>
          <w:szCs w:val="18"/>
        </w:rPr>
        <w:t xml:space="preserve">, eds., </w:t>
      </w:r>
      <w:r w:rsidRPr="00105BB0">
        <w:rPr>
          <w:i/>
          <w:sz w:val="18"/>
          <w:szCs w:val="18"/>
        </w:rPr>
        <w:t xml:space="preserve">Sorry, Out of Gas: Architecture’s Response to the 1973 Oil Crisis </w:t>
      </w:r>
      <w:r w:rsidRPr="00105BB0">
        <w:rPr>
          <w:sz w:val="18"/>
          <w:szCs w:val="18"/>
        </w:rPr>
        <w:t xml:space="preserve">(Montreal: Canadian Centre for Architecture, 2007) 50. In 2007, the Canadian Centre for Architecture in Montreal staged an exhibition entitled “Sorry Out of Gas: Architecture’s Response to the 1973 Oil Crisis.” Although the exhibition did not specifically address pneumatics, its discussion of the relationship between architecture and oil in the 1970s sheds light on the development of environmentally responsive building materials, methods, technologies and concepts. </w:t>
      </w:r>
    </w:p>
    <w:p w14:paraId="1266B825" w14:textId="77777777" w:rsidR="00A56ABB" w:rsidRPr="00105BB0" w:rsidRDefault="00A56ABB" w:rsidP="00FE6046">
      <w:pPr>
        <w:pStyle w:val="EndnoteText"/>
        <w:spacing w:line="240" w:lineRule="auto"/>
        <w:rPr>
          <w:sz w:val="18"/>
          <w:szCs w:val="18"/>
        </w:rPr>
      </w:pPr>
    </w:p>
  </w:endnote>
  <w:endnote w:id="75">
    <w:p w14:paraId="11E88413" w14:textId="5A24B7B4" w:rsidR="00A56ABB" w:rsidRPr="00105BB0" w:rsidRDefault="00A56ABB" w:rsidP="00FE604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Simone </w:t>
      </w:r>
      <w:proofErr w:type="spellStart"/>
      <w:r w:rsidRPr="00105BB0">
        <w:rPr>
          <w:sz w:val="18"/>
          <w:szCs w:val="18"/>
        </w:rPr>
        <w:t>Jeska</w:t>
      </w:r>
      <w:proofErr w:type="spellEnd"/>
      <w:r w:rsidRPr="00105BB0">
        <w:rPr>
          <w:sz w:val="18"/>
          <w:szCs w:val="18"/>
        </w:rPr>
        <w:t xml:space="preserve">, </w:t>
      </w:r>
      <w:r w:rsidRPr="00105BB0">
        <w:rPr>
          <w:i/>
          <w:sz w:val="18"/>
          <w:szCs w:val="18"/>
        </w:rPr>
        <w:t>Transparent Plastics: Design and Technology</w:t>
      </w:r>
      <w:r w:rsidRPr="00105BB0">
        <w:rPr>
          <w:sz w:val="18"/>
          <w:szCs w:val="18"/>
        </w:rPr>
        <w:t xml:space="preserve"> (Basel/Boston/Berlin: </w:t>
      </w:r>
      <w:proofErr w:type="spellStart"/>
      <w:r w:rsidRPr="00105BB0">
        <w:rPr>
          <w:sz w:val="18"/>
          <w:szCs w:val="18"/>
        </w:rPr>
        <w:t>Birkhäuser</w:t>
      </w:r>
      <w:proofErr w:type="spellEnd"/>
      <w:r w:rsidRPr="00105BB0">
        <w:rPr>
          <w:sz w:val="18"/>
          <w:szCs w:val="18"/>
        </w:rPr>
        <w:t>, 2008) 22.</w:t>
      </w:r>
    </w:p>
    <w:p w14:paraId="201F8A7F" w14:textId="77777777" w:rsidR="00A56ABB" w:rsidRPr="00105BB0" w:rsidRDefault="00A56ABB" w:rsidP="00FE6046">
      <w:pPr>
        <w:pStyle w:val="EndnoteText"/>
        <w:spacing w:line="240" w:lineRule="auto"/>
        <w:contextualSpacing/>
        <w:rPr>
          <w:sz w:val="18"/>
          <w:szCs w:val="18"/>
        </w:rPr>
      </w:pPr>
    </w:p>
  </w:endnote>
  <w:endnote w:id="76">
    <w:p w14:paraId="5848488B" w14:textId="7BA72324" w:rsidR="00A56ABB" w:rsidRPr="00105BB0" w:rsidRDefault="00A56ABB" w:rsidP="00FE604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“We wanted to move beyond just and editorial.” Joe Valerio, i</w:t>
      </w:r>
      <w:r>
        <w:rPr>
          <w:sz w:val="18"/>
          <w:szCs w:val="18"/>
        </w:rPr>
        <w:t>n conversation with the author, 06 October 2016</w:t>
      </w:r>
      <w:r w:rsidRPr="00105BB0">
        <w:rPr>
          <w:sz w:val="18"/>
          <w:szCs w:val="18"/>
        </w:rPr>
        <w:t>.</w:t>
      </w:r>
    </w:p>
    <w:p w14:paraId="6813EB8A" w14:textId="77777777" w:rsidR="00A56ABB" w:rsidRPr="00105BB0" w:rsidRDefault="00A56ABB" w:rsidP="00FE6046">
      <w:pPr>
        <w:pStyle w:val="EndnoteText"/>
        <w:spacing w:line="240" w:lineRule="auto"/>
        <w:contextualSpacing/>
        <w:rPr>
          <w:sz w:val="18"/>
          <w:szCs w:val="18"/>
        </w:rPr>
      </w:pPr>
    </w:p>
  </w:endnote>
  <w:endnote w:id="77">
    <w:p w14:paraId="5F3FEE50" w14:textId="0A38ACB7" w:rsidR="00A56ABB" w:rsidRPr="00105BB0" w:rsidRDefault="00A56ABB" w:rsidP="00FE604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Davies, “Exploring, rehearsing, delivering</w:t>
      </w:r>
      <w:r>
        <w:rPr>
          <w:sz w:val="18"/>
          <w:szCs w:val="18"/>
        </w:rPr>
        <w:t>,</w:t>
      </w:r>
      <w:r w:rsidRPr="00105BB0">
        <w:rPr>
          <w:sz w:val="18"/>
          <w:szCs w:val="18"/>
        </w:rPr>
        <w:t>” 21.</w:t>
      </w:r>
      <w:r>
        <w:rPr>
          <w:sz w:val="18"/>
          <w:szCs w:val="18"/>
        </w:rPr>
        <w:t xml:space="preserve"> </w:t>
      </w:r>
    </w:p>
    <w:p w14:paraId="32A66375" w14:textId="77777777" w:rsidR="00A56ABB" w:rsidRPr="00105BB0" w:rsidRDefault="00A56ABB" w:rsidP="00FE6046">
      <w:pPr>
        <w:pStyle w:val="EndnoteText"/>
        <w:spacing w:line="240" w:lineRule="auto"/>
        <w:contextualSpacing/>
        <w:rPr>
          <w:sz w:val="18"/>
          <w:szCs w:val="18"/>
        </w:rPr>
      </w:pPr>
    </w:p>
  </w:endnote>
  <w:endnote w:id="78">
    <w:p w14:paraId="51CAC0A3" w14:textId="77777777" w:rsidR="00A56ABB" w:rsidRPr="00105BB0" w:rsidRDefault="00A56ABB" w:rsidP="00FE6046">
      <w:pPr>
        <w:pStyle w:val="EndnoteText"/>
        <w:spacing w:line="240" w:lineRule="auto"/>
        <w:contextualSpacing/>
        <w:rPr>
          <w:sz w:val="18"/>
          <w:szCs w:val="18"/>
        </w:rPr>
      </w:pPr>
      <w:r w:rsidRPr="00105BB0">
        <w:rPr>
          <w:rStyle w:val="EndnoteReference"/>
          <w:sz w:val="18"/>
          <w:szCs w:val="18"/>
        </w:rPr>
        <w:endnoteRef/>
      </w:r>
      <w:r w:rsidRPr="00105BB0">
        <w:rPr>
          <w:sz w:val="18"/>
          <w:szCs w:val="18"/>
        </w:rPr>
        <w:t xml:space="preserve"> In several conversations with the author, Valerio attempts to pinpoint the exact moment that he caught wind that pneumatics were a “bad” idea. He cites that the Whole Earth Catalog must have had something to do with it—as well as a larger pop cultural understanding that energy and oil were no longer finite resources. For an elucidation on the disadvantages of inflatables, and a likely claim for their being put to rest, see Robert Greenway, “</w:t>
      </w:r>
      <w:proofErr w:type="spellStart"/>
      <w:r w:rsidRPr="00105BB0">
        <w:rPr>
          <w:sz w:val="18"/>
          <w:szCs w:val="18"/>
        </w:rPr>
        <w:t>Inflatocookbook</w:t>
      </w:r>
      <w:proofErr w:type="spellEnd"/>
      <w:r w:rsidRPr="00105BB0">
        <w:rPr>
          <w:sz w:val="18"/>
          <w:szCs w:val="18"/>
        </w:rPr>
        <w:t xml:space="preserve">” in </w:t>
      </w:r>
      <w:r w:rsidRPr="00105BB0">
        <w:rPr>
          <w:i/>
          <w:sz w:val="18"/>
          <w:szCs w:val="18"/>
        </w:rPr>
        <w:t xml:space="preserve">Whole Earth Catalog </w:t>
      </w:r>
      <w:r w:rsidRPr="00105BB0">
        <w:rPr>
          <w:sz w:val="18"/>
          <w:szCs w:val="18"/>
        </w:rPr>
        <w:t xml:space="preserve">(January 1971) 43.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EFCD6" w14:textId="77777777" w:rsidR="00A56ABB" w:rsidRDefault="00A56ABB" w:rsidP="00EA71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DBB964" w14:textId="77777777" w:rsidR="00A56ABB" w:rsidRDefault="00A56ABB" w:rsidP="00EA713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018B0" w14:textId="368A06F4" w:rsidR="00A56ABB" w:rsidRPr="00465110" w:rsidRDefault="00A56ABB" w:rsidP="005F2EBB">
    <w:pPr>
      <w:pStyle w:val="Footer"/>
      <w:ind w:right="360"/>
      <w:rPr>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6B4EB" w14:textId="77777777" w:rsidR="003E3D79" w:rsidRDefault="003E3D79" w:rsidP="00B03607">
      <w:r>
        <w:separator/>
      </w:r>
    </w:p>
  </w:footnote>
  <w:footnote w:type="continuationSeparator" w:id="0">
    <w:p w14:paraId="45C394A7" w14:textId="77777777" w:rsidR="003E3D79" w:rsidRDefault="003E3D79" w:rsidP="00B036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37258" w14:textId="77777777" w:rsidR="00A56ABB" w:rsidRPr="00465110" w:rsidRDefault="00A56ABB" w:rsidP="005F2EBB">
    <w:pPr>
      <w:pStyle w:val="Footer"/>
      <w:framePr w:wrap="around" w:vAnchor="text" w:hAnchor="margin" w:xAlign="right" w:y="1"/>
      <w:rPr>
        <w:rStyle w:val="PageNumber"/>
        <w:sz w:val="18"/>
        <w:szCs w:val="18"/>
      </w:rPr>
    </w:pPr>
    <w:r w:rsidRPr="00465110">
      <w:rPr>
        <w:rStyle w:val="PageNumber"/>
        <w:sz w:val="18"/>
        <w:szCs w:val="18"/>
      </w:rPr>
      <w:fldChar w:fldCharType="begin"/>
    </w:r>
    <w:r w:rsidRPr="00465110">
      <w:rPr>
        <w:rStyle w:val="PageNumber"/>
        <w:sz w:val="18"/>
        <w:szCs w:val="18"/>
      </w:rPr>
      <w:instrText xml:space="preserve">PAGE  </w:instrText>
    </w:r>
    <w:r w:rsidRPr="00465110">
      <w:rPr>
        <w:rStyle w:val="PageNumber"/>
        <w:sz w:val="18"/>
        <w:szCs w:val="18"/>
      </w:rPr>
      <w:fldChar w:fldCharType="separate"/>
    </w:r>
    <w:r w:rsidR="004F43BF">
      <w:rPr>
        <w:rStyle w:val="PageNumber"/>
        <w:noProof/>
        <w:sz w:val="18"/>
        <w:szCs w:val="18"/>
      </w:rPr>
      <w:t>12</w:t>
    </w:r>
    <w:r w:rsidRPr="00465110">
      <w:rPr>
        <w:rStyle w:val="PageNumber"/>
        <w:sz w:val="18"/>
        <w:szCs w:val="18"/>
      </w:rPr>
      <w:fldChar w:fldCharType="end"/>
    </w:r>
  </w:p>
  <w:p w14:paraId="68399930" w14:textId="47B53243" w:rsidR="00A56ABB" w:rsidRPr="00465110" w:rsidRDefault="00A56ABB" w:rsidP="005F2EBB">
    <w:pPr>
      <w:pStyle w:val="Footer"/>
      <w:ind w:right="360"/>
      <w:rPr>
        <w:sz w:val="18"/>
        <w:szCs w:val="18"/>
      </w:rPr>
    </w:pPr>
    <w:r w:rsidRPr="00465110">
      <w:rPr>
        <w:sz w:val="18"/>
        <w:szCs w:val="18"/>
      </w:rPr>
      <w:t>Moon, “Who Let the Air Out?”</w:t>
    </w:r>
    <w:r>
      <w:rPr>
        <w:sz w:val="18"/>
        <w:szCs w:val="18"/>
      </w:rPr>
      <w:t xml:space="preserve"> – FINAL (2017-11-04)</w:t>
    </w:r>
  </w:p>
  <w:p w14:paraId="2703C6F2" w14:textId="77777777" w:rsidR="00A56ABB" w:rsidRDefault="00A56A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669"/>
    <w:rsid w:val="00001F61"/>
    <w:rsid w:val="000048A0"/>
    <w:rsid w:val="00005D17"/>
    <w:rsid w:val="00007E51"/>
    <w:rsid w:val="00010A6E"/>
    <w:rsid w:val="00013B02"/>
    <w:rsid w:val="00014299"/>
    <w:rsid w:val="000143ED"/>
    <w:rsid w:val="00015CBD"/>
    <w:rsid w:val="00015FFA"/>
    <w:rsid w:val="00020053"/>
    <w:rsid w:val="0002027A"/>
    <w:rsid w:val="00020697"/>
    <w:rsid w:val="0002098A"/>
    <w:rsid w:val="000218F6"/>
    <w:rsid w:val="00021BA6"/>
    <w:rsid w:val="000220BE"/>
    <w:rsid w:val="000234C8"/>
    <w:rsid w:val="00023597"/>
    <w:rsid w:val="00024685"/>
    <w:rsid w:val="0002513A"/>
    <w:rsid w:val="00025A0B"/>
    <w:rsid w:val="00025B29"/>
    <w:rsid w:val="00027770"/>
    <w:rsid w:val="00027943"/>
    <w:rsid w:val="0003069F"/>
    <w:rsid w:val="00032DDF"/>
    <w:rsid w:val="000343F1"/>
    <w:rsid w:val="00034D00"/>
    <w:rsid w:val="000377BE"/>
    <w:rsid w:val="00037D88"/>
    <w:rsid w:val="0004035E"/>
    <w:rsid w:val="00040727"/>
    <w:rsid w:val="00040930"/>
    <w:rsid w:val="000440A3"/>
    <w:rsid w:val="000440BF"/>
    <w:rsid w:val="00044628"/>
    <w:rsid w:val="0004473B"/>
    <w:rsid w:val="00050996"/>
    <w:rsid w:val="00051EC1"/>
    <w:rsid w:val="00052391"/>
    <w:rsid w:val="00052858"/>
    <w:rsid w:val="00053384"/>
    <w:rsid w:val="00055A98"/>
    <w:rsid w:val="00056242"/>
    <w:rsid w:val="00056FE0"/>
    <w:rsid w:val="00057D7A"/>
    <w:rsid w:val="00060145"/>
    <w:rsid w:val="00064AF9"/>
    <w:rsid w:val="000660E2"/>
    <w:rsid w:val="0006671C"/>
    <w:rsid w:val="00067523"/>
    <w:rsid w:val="00071077"/>
    <w:rsid w:val="00072CF3"/>
    <w:rsid w:val="0007539A"/>
    <w:rsid w:val="000800B3"/>
    <w:rsid w:val="000808F5"/>
    <w:rsid w:val="00081E1C"/>
    <w:rsid w:val="000847E3"/>
    <w:rsid w:val="000856EB"/>
    <w:rsid w:val="00087908"/>
    <w:rsid w:val="00092A18"/>
    <w:rsid w:val="00093016"/>
    <w:rsid w:val="000936E5"/>
    <w:rsid w:val="00095FD8"/>
    <w:rsid w:val="000A06C7"/>
    <w:rsid w:val="000A1E5A"/>
    <w:rsid w:val="000A3C1C"/>
    <w:rsid w:val="000A41CF"/>
    <w:rsid w:val="000A4537"/>
    <w:rsid w:val="000A5DC3"/>
    <w:rsid w:val="000A6A3E"/>
    <w:rsid w:val="000A7C23"/>
    <w:rsid w:val="000B0C69"/>
    <w:rsid w:val="000B0C70"/>
    <w:rsid w:val="000B7481"/>
    <w:rsid w:val="000B775F"/>
    <w:rsid w:val="000C08E2"/>
    <w:rsid w:val="000C13E1"/>
    <w:rsid w:val="000C7E7C"/>
    <w:rsid w:val="000D10C9"/>
    <w:rsid w:val="000D250D"/>
    <w:rsid w:val="000D3B7E"/>
    <w:rsid w:val="000D5D9D"/>
    <w:rsid w:val="000D6FBA"/>
    <w:rsid w:val="000E060D"/>
    <w:rsid w:val="000E2536"/>
    <w:rsid w:val="000E3108"/>
    <w:rsid w:val="000E43E1"/>
    <w:rsid w:val="000E6503"/>
    <w:rsid w:val="000F284D"/>
    <w:rsid w:val="000F5D19"/>
    <w:rsid w:val="00100AFD"/>
    <w:rsid w:val="00102772"/>
    <w:rsid w:val="00104A55"/>
    <w:rsid w:val="00105BB0"/>
    <w:rsid w:val="001079D9"/>
    <w:rsid w:val="001102DD"/>
    <w:rsid w:val="001124FD"/>
    <w:rsid w:val="00112701"/>
    <w:rsid w:val="00114568"/>
    <w:rsid w:val="0011667A"/>
    <w:rsid w:val="001166DE"/>
    <w:rsid w:val="00121466"/>
    <w:rsid w:val="0012169C"/>
    <w:rsid w:val="00124F0A"/>
    <w:rsid w:val="001271F0"/>
    <w:rsid w:val="00132AAA"/>
    <w:rsid w:val="00132C95"/>
    <w:rsid w:val="00134F97"/>
    <w:rsid w:val="0013596E"/>
    <w:rsid w:val="00142A0F"/>
    <w:rsid w:val="001434F8"/>
    <w:rsid w:val="001520B7"/>
    <w:rsid w:val="00152FAF"/>
    <w:rsid w:val="0015674C"/>
    <w:rsid w:val="00161308"/>
    <w:rsid w:val="00162A74"/>
    <w:rsid w:val="00163D4B"/>
    <w:rsid w:val="00164E92"/>
    <w:rsid w:val="0016570E"/>
    <w:rsid w:val="00166A5B"/>
    <w:rsid w:val="00172A9F"/>
    <w:rsid w:val="00174EB5"/>
    <w:rsid w:val="001777DB"/>
    <w:rsid w:val="00183406"/>
    <w:rsid w:val="00183823"/>
    <w:rsid w:val="00184196"/>
    <w:rsid w:val="00184CC5"/>
    <w:rsid w:val="00185CF0"/>
    <w:rsid w:val="001869FF"/>
    <w:rsid w:val="001908B8"/>
    <w:rsid w:val="00193C50"/>
    <w:rsid w:val="001A0030"/>
    <w:rsid w:val="001A0A11"/>
    <w:rsid w:val="001A1CE4"/>
    <w:rsid w:val="001A2F4E"/>
    <w:rsid w:val="001A3A33"/>
    <w:rsid w:val="001A461D"/>
    <w:rsid w:val="001A7B2C"/>
    <w:rsid w:val="001A7C4D"/>
    <w:rsid w:val="001B14BD"/>
    <w:rsid w:val="001B17F6"/>
    <w:rsid w:val="001B3D51"/>
    <w:rsid w:val="001C16B5"/>
    <w:rsid w:val="001C4165"/>
    <w:rsid w:val="001C4561"/>
    <w:rsid w:val="001C6F65"/>
    <w:rsid w:val="001D436A"/>
    <w:rsid w:val="001E0EC9"/>
    <w:rsid w:val="001E5748"/>
    <w:rsid w:val="001E6E34"/>
    <w:rsid w:val="001F7EF0"/>
    <w:rsid w:val="002000E3"/>
    <w:rsid w:val="002001A6"/>
    <w:rsid w:val="0020476D"/>
    <w:rsid w:val="0021279F"/>
    <w:rsid w:val="0021471E"/>
    <w:rsid w:val="00215706"/>
    <w:rsid w:val="00216F8C"/>
    <w:rsid w:val="00220492"/>
    <w:rsid w:val="00220D39"/>
    <w:rsid w:val="002224AD"/>
    <w:rsid w:val="00222881"/>
    <w:rsid w:val="0022386A"/>
    <w:rsid w:val="002300F6"/>
    <w:rsid w:val="00231C6C"/>
    <w:rsid w:val="00233261"/>
    <w:rsid w:val="00240D4D"/>
    <w:rsid w:val="00242496"/>
    <w:rsid w:val="00242601"/>
    <w:rsid w:val="00243A83"/>
    <w:rsid w:val="00243A8B"/>
    <w:rsid w:val="002469AE"/>
    <w:rsid w:val="0025045D"/>
    <w:rsid w:val="00255178"/>
    <w:rsid w:val="00256075"/>
    <w:rsid w:val="0025703B"/>
    <w:rsid w:val="002609DF"/>
    <w:rsid w:val="00266AF0"/>
    <w:rsid w:val="002673A6"/>
    <w:rsid w:val="00273CB3"/>
    <w:rsid w:val="002742BF"/>
    <w:rsid w:val="00274BA6"/>
    <w:rsid w:val="002806E3"/>
    <w:rsid w:val="002814D7"/>
    <w:rsid w:val="0028171E"/>
    <w:rsid w:val="00282E45"/>
    <w:rsid w:val="00283E45"/>
    <w:rsid w:val="0028431C"/>
    <w:rsid w:val="00284832"/>
    <w:rsid w:val="00292777"/>
    <w:rsid w:val="00292D67"/>
    <w:rsid w:val="002961AB"/>
    <w:rsid w:val="002A5FCD"/>
    <w:rsid w:val="002A73F2"/>
    <w:rsid w:val="002B1CA4"/>
    <w:rsid w:val="002B3BBA"/>
    <w:rsid w:val="002B448B"/>
    <w:rsid w:val="002C0891"/>
    <w:rsid w:val="002C5AD8"/>
    <w:rsid w:val="002C69E3"/>
    <w:rsid w:val="002D2761"/>
    <w:rsid w:val="002D3A89"/>
    <w:rsid w:val="002D6AD3"/>
    <w:rsid w:val="002D715C"/>
    <w:rsid w:val="002E0432"/>
    <w:rsid w:val="002E2EFE"/>
    <w:rsid w:val="002E723B"/>
    <w:rsid w:val="002F1277"/>
    <w:rsid w:val="002F366B"/>
    <w:rsid w:val="002F528D"/>
    <w:rsid w:val="0030069F"/>
    <w:rsid w:val="00301ECC"/>
    <w:rsid w:val="00311FC7"/>
    <w:rsid w:val="00315364"/>
    <w:rsid w:val="00315780"/>
    <w:rsid w:val="00317CC1"/>
    <w:rsid w:val="00320F3B"/>
    <w:rsid w:val="003217C2"/>
    <w:rsid w:val="0032244D"/>
    <w:rsid w:val="00323A8D"/>
    <w:rsid w:val="00323F1F"/>
    <w:rsid w:val="00325560"/>
    <w:rsid w:val="003267DF"/>
    <w:rsid w:val="0032698E"/>
    <w:rsid w:val="00330EAA"/>
    <w:rsid w:val="00335A4A"/>
    <w:rsid w:val="0033626B"/>
    <w:rsid w:val="00337442"/>
    <w:rsid w:val="00337907"/>
    <w:rsid w:val="00337F74"/>
    <w:rsid w:val="00340045"/>
    <w:rsid w:val="00340BEC"/>
    <w:rsid w:val="00342B39"/>
    <w:rsid w:val="003453C8"/>
    <w:rsid w:val="00345534"/>
    <w:rsid w:val="00347278"/>
    <w:rsid w:val="00347FC9"/>
    <w:rsid w:val="00350075"/>
    <w:rsid w:val="0035070F"/>
    <w:rsid w:val="00350B18"/>
    <w:rsid w:val="003512B6"/>
    <w:rsid w:val="00353C38"/>
    <w:rsid w:val="00353D67"/>
    <w:rsid w:val="003544AD"/>
    <w:rsid w:val="00365DB8"/>
    <w:rsid w:val="00370227"/>
    <w:rsid w:val="003707E2"/>
    <w:rsid w:val="00371445"/>
    <w:rsid w:val="0037151B"/>
    <w:rsid w:val="0037259A"/>
    <w:rsid w:val="00373241"/>
    <w:rsid w:val="0037552E"/>
    <w:rsid w:val="00377307"/>
    <w:rsid w:val="003820A5"/>
    <w:rsid w:val="00382427"/>
    <w:rsid w:val="003855CD"/>
    <w:rsid w:val="00386894"/>
    <w:rsid w:val="003939C7"/>
    <w:rsid w:val="00397F63"/>
    <w:rsid w:val="003A08C1"/>
    <w:rsid w:val="003A4FDA"/>
    <w:rsid w:val="003B21BC"/>
    <w:rsid w:val="003B2F7C"/>
    <w:rsid w:val="003B3177"/>
    <w:rsid w:val="003B32D3"/>
    <w:rsid w:val="003B3527"/>
    <w:rsid w:val="003B3DB8"/>
    <w:rsid w:val="003B40CB"/>
    <w:rsid w:val="003B4D07"/>
    <w:rsid w:val="003B50AC"/>
    <w:rsid w:val="003B6727"/>
    <w:rsid w:val="003B69D9"/>
    <w:rsid w:val="003B72E6"/>
    <w:rsid w:val="003B7562"/>
    <w:rsid w:val="003C1026"/>
    <w:rsid w:val="003C1CDB"/>
    <w:rsid w:val="003C1CE5"/>
    <w:rsid w:val="003C25B1"/>
    <w:rsid w:val="003C2AE4"/>
    <w:rsid w:val="003C3018"/>
    <w:rsid w:val="003C5314"/>
    <w:rsid w:val="003C5566"/>
    <w:rsid w:val="003C7C2A"/>
    <w:rsid w:val="003D11AF"/>
    <w:rsid w:val="003D193E"/>
    <w:rsid w:val="003D659A"/>
    <w:rsid w:val="003E02F4"/>
    <w:rsid w:val="003E1EBF"/>
    <w:rsid w:val="003E2956"/>
    <w:rsid w:val="003E3D79"/>
    <w:rsid w:val="003F2CD5"/>
    <w:rsid w:val="003F46A1"/>
    <w:rsid w:val="003F4D95"/>
    <w:rsid w:val="003F5A5C"/>
    <w:rsid w:val="003F639C"/>
    <w:rsid w:val="00400A3D"/>
    <w:rsid w:val="004014B2"/>
    <w:rsid w:val="004043D8"/>
    <w:rsid w:val="00404464"/>
    <w:rsid w:val="00406C6C"/>
    <w:rsid w:val="00407C0E"/>
    <w:rsid w:val="00407E9E"/>
    <w:rsid w:val="0041064C"/>
    <w:rsid w:val="004112A6"/>
    <w:rsid w:val="00412C17"/>
    <w:rsid w:val="00412F21"/>
    <w:rsid w:val="00413383"/>
    <w:rsid w:val="00414BFB"/>
    <w:rsid w:val="00417662"/>
    <w:rsid w:val="00426A08"/>
    <w:rsid w:val="00427736"/>
    <w:rsid w:val="004303BB"/>
    <w:rsid w:val="00432D13"/>
    <w:rsid w:val="004350FE"/>
    <w:rsid w:val="00440189"/>
    <w:rsid w:val="004401F7"/>
    <w:rsid w:val="0044080C"/>
    <w:rsid w:val="00441109"/>
    <w:rsid w:val="004430BB"/>
    <w:rsid w:val="0044607B"/>
    <w:rsid w:val="00447570"/>
    <w:rsid w:val="0045057D"/>
    <w:rsid w:val="0045470C"/>
    <w:rsid w:val="004548B0"/>
    <w:rsid w:val="00455CFE"/>
    <w:rsid w:val="0045785E"/>
    <w:rsid w:val="0046236C"/>
    <w:rsid w:val="004642CD"/>
    <w:rsid w:val="00465110"/>
    <w:rsid w:val="004653A1"/>
    <w:rsid w:val="00470355"/>
    <w:rsid w:val="004703CA"/>
    <w:rsid w:val="00472D0E"/>
    <w:rsid w:val="00472DD3"/>
    <w:rsid w:val="00472F90"/>
    <w:rsid w:val="00474D66"/>
    <w:rsid w:val="00476205"/>
    <w:rsid w:val="00477FD1"/>
    <w:rsid w:val="00482B59"/>
    <w:rsid w:val="00483847"/>
    <w:rsid w:val="00484D74"/>
    <w:rsid w:val="004859ED"/>
    <w:rsid w:val="00485BCC"/>
    <w:rsid w:val="004862A6"/>
    <w:rsid w:val="0048788F"/>
    <w:rsid w:val="00491F55"/>
    <w:rsid w:val="004925DC"/>
    <w:rsid w:val="004A0933"/>
    <w:rsid w:val="004A42CA"/>
    <w:rsid w:val="004A5192"/>
    <w:rsid w:val="004A5B1A"/>
    <w:rsid w:val="004A6248"/>
    <w:rsid w:val="004B0311"/>
    <w:rsid w:val="004B0460"/>
    <w:rsid w:val="004B10BF"/>
    <w:rsid w:val="004B1CBE"/>
    <w:rsid w:val="004B1CC1"/>
    <w:rsid w:val="004B29F5"/>
    <w:rsid w:val="004B2FE1"/>
    <w:rsid w:val="004B3CDA"/>
    <w:rsid w:val="004B4996"/>
    <w:rsid w:val="004B6E3B"/>
    <w:rsid w:val="004C0ACA"/>
    <w:rsid w:val="004C1649"/>
    <w:rsid w:val="004C32EF"/>
    <w:rsid w:val="004C3D7D"/>
    <w:rsid w:val="004C5679"/>
    <w:rsid w:val="004C71E1"/>
    <w:rsid w:val="004C7355"/>
    <w:rsid w:val="004C7542"/>
    <w:rsid w:val="004D1A5D"/>
    <w:rsid w:val="004D208E"/>
    <w:rsid w:val="004D2651"/>
    <w:rsid w:val="004D4BE1"/>
    <w:rsid w:val="004D5F40"/>
    <w:rsid w:val="004E10AC"/>
    <w:rsid w:val="004E3098"/>
    <w:rsid w:val="004E33F0"/>
    <w:rsid w:val="004E3B37"/>
    <w:rsid w:val="004E6CC2"/>
    <w:rsid w:val="004E7220"/>
    <w:rsid w:val="004E7669"/>
    <w:rsid w:val="004F4083"/>
    <w:rsid w:val="004F42D1"/>
    <w:rsid w:val="004F43BF"/>
    <w:rsid w:val="004F4960"/>
    <w:rsid w:val="004F60BF"/>
    <w:rsid w:val="004F68D6"/>
    <w:rsid w:val="00500041"/>
    <w:rsid w:val="00500F18"/>
    <w:rsid w:val="00503247"/>
    <w:rsid w:val="00504C57"/>
    <w:rsid w:val="005050A5"/>
    <w:rsid w:val="005063C3"/>
    <w:rsid w:val="00507B5F"/>
    <w:rsid w:val="00511FC6"/>
    <w:rsid w:val="00513909"/>
    <w:rsid w:val="00514793"/>
    <w:rsid w:val="0051609D"/>
    <w:rsid w:val="00517389"/>
    <w:rsid w:val="00520E80"/>
    <w:rsid w:val="00521126"/>
    <w:rsid w:val="00522100"/>
    <w:rsid w:val="00522230"/>
    <w:rsid w:val="00524431"/>
    <w:rsid w:val="0052473D"/>
    <w:rsid w:val="005247DB"/>
    <w:rsid w:val="00524D7B"/>
    <w:rsid w:val="00527277"/>
    <w:rsid w:val="00532FEC"/>
    <w:rsid w:val="00537286"/>
    <w:rsid w:val="00543E7A"/>
    <w:rsid w:val="0054447C"/>
    <w:rsid w:val="00544F11"/>
    <w:rsid w:val="00546779"/>
    <w:rsid w:val="005510A9"/>
    <w:rsid w:val="0055219D"/>
    <w:rsid w:val="0055721A"/>
    <w:rsid w:val="00557AF6"/>
    <w:rsid w:val="00561340"/>
    <w:rsid w:val="00561F84"/>
    <w:rsid w:val="0056209E"/>
    <w:rsid w:val="00562FC7"/>
    <w:rsid w:val="00563ECC"/>
    <w:rsid w:val="00564CD8"/>
    <w:rsid w:val="00565AB9"/>
    <w:rsid w:val="00566C90"/>
    <w:rsid w:val="005700D2"/>
    <w:rsid w:val="005701F7"/>
    <w:rsid w:val="00570D50"/>
    <w:rsid w:val="0057398A"/>
    <w:rsid w:val="00576382"/>
    <w:rsid w:val="00582C7B"/>
    <w:rsid w:val="005832E8"/>
    <w:rsid w:val="00583633"/>
    <w:rsid w:val="00583D25"/>
    <w:rsid w:val="00584A51"/>
    <w:rsid w:val="00591AE8"/>
    <w:rsid w:val="005A06BE"/>
    <w:rsid w:val="005A2F95"/>
    <w:rsid w:val="005A3093"/>
    <w:rsid w:val="005A5FC4"/>
    <w:rsid w:val="005B019B"/>
    <w:rsid w:val="005B089E"/>
    <w:rsid w:val="005B0AA2"/>
    <w:rsid w:val="005B1AF0"/>
    <w:rsid w:val="005B1D62"/>
    <w:rsid w:val="005B2F0E"/>
    <w:rsid w:val="005B3D89"/>
    <w:rsid w:val="005B41D4"/>
    <w:rsid w:val="005B4721"/>
    <w:rsid w:val="005B5DC0"/>
    <w:rsid w:val="005B7951"/>
    <w:rsid w:val="005C13D2"/>
    <w:rsid w:val="005C3F7D"/>
    <w:rsid w:val="005C47E4"/>
    <w:rsid w:val="005C50A8"/>
    <w:rsid w:val="005C645A"/>
    <w:rsid w:val="005C7074"/>
    <w:rsid w:val="005D16B5"/>
    <w:rsid w:val="005D1C47"/>
    <w:rsid w:val="005D4ED3"/>
    <w:rsid w:val="005E0250"/>
    <w:rsid w:val="005E215B"/>
    <w:rsid w:val="005E2441"/>
    <w:rsid w:val="005E3800"/>
    <w:rsid w:val="005E4FBC"/>
    <w:rsid w:val="005E5E91"/>
    <w:rsid w:val="005F00D3"/>
    <w:rsid w:val="005F1C8B"/>
    <w:rsid w:val="005F1D71"/>
    <w:rsid w:val="005F2EBB"/>
    <w:rsid w:val="005F5B70"/>
    <w:rsid w:val="005F694C"/>
    <w:rsid w:val="0060211F"/>
    <w:rsid w:val="006079C2"/>
    <w:rsid w:val="00607D37"/>
    <w:rsid w:val="00607DAE"/>
    <w:rsid w:val="00607E56"/>
    <w:rsid w:val="006106E2"/>
    <w:rsid w:val="00610DD6"/>
    <w:rsid w:val="00613B03"/>
    <w:rsid w:val="00614662"/>
    <w:rsid w:val="0061657F"/>
    <w:rsid w:val="006166F4"/>
    <w:rsid w:val="00620F51"/>
    <w:rsid w:val="00622D90"/>
    <w:rsid w:val="00626750"/>
    <w:rsid w:val="006271A5"/>
    <w:rsid w:val="00627C2C"/>
    <w:rsid w:val="0063034D"/>
    <w:rsid w:val="0063044E"/>
    <w:rsid w:val="00630A7C"/>
    <w:rsid w:val="006317C7"/>
    <w:rsid w:val="00631880"/>
    <w:rsid w:val="00635FC9"/>
    <w:rsid w:val="00641393"/>
    <w:rsid w:val="006450FC"/>
    <w:rsid w:val="00646E30"/>
    <w:rsid w:val="00646F46"/>
    <w:rsid w:val="00651648"/>
    <w:rsid w:val="0065615C"/>
    <w:rsid w:val="00661420"/>
    <w:rsid w:val="00661EC3"/>
    <w:rsid w:val="00661FBB"/>
    <w:rsid w:val="0066241F"/>
    <w:rsid w:val="00663217"/>
    <w:rsid w:val="0066371D"/>
    <w:rsid w:val="00663C49"/>
    <w:rsid w:val="00665D64"/>
    <w:rsid w:val="00666E0F"/>
    <w:rsid w:val="00667E2B"/>
    <w:rsid w:val="00670523"/>
    <w:rsid w:val="00672112"/>
    <w:rsid w:val="00672FB3"/>
    <w:rsid w:val="006758ED"/>
    <w:rsid w:val="00677859"/>
    <w:rsid w:val="0068144D"/>
    <w:rsid w:val="00682DD6"/>
    <w:rsid w:val="00684A47"/>
    <w:rsid w:val="00687766"/>
    <w:rsid w:val="00690DF4"/>
    <w:rsid w:val="006923FC"/>
    <w:rsid w:val="006931FA"/>
    <w:rsid w:val="006946B4"/>
    <w:rsid w:val="006973AF"/>
    <w:rsid w:val="006A04D7"/>
    <w:rsid w:val="006A19BB"/>
    <w:rsid w:val="006A5F2D"/>
    <w:rsid w:val="006A6E52"/>
    <w:rsid w:val="006B0A22"/>
    <w:rsid w:val="006B121B"/>
    <w:rsid w:val="006B4128"/>
    <w:rsid w:val="006B4B6C"/>
    <w:rsid w:val="006B6A46"/>
    <w:rsid w:val="006C0EAB"/>
    <w:rsid w:val="006C24FB"/>
    <w:rsid w:val="006C3B3C"/>
    <w:rsid w:val="006C7BD3"/>
    <w:rsid w:val="006D12F4"/>
    <w:rsid w:val="006D7232"/>
    <w:rsid w:val="006D735D"/>
    <w:rsid w:val="006E01CA"/>
    <w:rsid w:val="006E177B"/>
    <w:rsid w:val="006E31B6"/>
    <w:rsid w:val="006E3384"/>
    <w:rsid w:val="006E3D5E"/>
    <w:rsid w:val="006E61F1"/>
    <w:rsid w:val="006F1DAB"/>
    <w:rsid w:val="006F226B"/>
    <w:rsid w:val="006F254A"/>
    <w:rsid w:val="006F2599"/>
    <w:rsid w:val="006F28E8"/>
    <w:rsid w:val="006F4037"/>
    <w:rsid w:val="006F52E4"/>
    <w:rsid w:val="006F5D6E"/>
    <w:rsid w:val="006F5EC2"/>
    <w:rsid w:val="00701741"/>
    <w:rsid w:val="0070330E"/>
    <w:rsid w:val="00704976"/>
    <w:rsid w:val="007066A9"/>
    <w:rsid w:val="00707063"/>
    <w:rsid w:val="00707ABF"/>
    <w:rsid w:val="00710452"/>
    <w:rsid w:val="0071195C"/>
    <w:rsid w:val="00712595"/>
    <w:rsid w:val="00712CDC"/>
    <w:rsid w:val="00713139"/>
    <w:rsid w:val="007140C0"/>
    <w:rsid w:val="00716615"/>
    <w:rsid w:val="00716EF8"/>
    <w:rsid w:val="00720E1C"/>
    <w:rsid w:val="00723EB2"/>
    <w:rsid w:val="007241F8"/>
    <w:rsid w:val="00726E3D"/>
    <w:rsid w:val="0072775B"/>
    <w:rsid w:val="007300A2"/>
    <w:rsid w:val="0073285E"/>
    <w:rsid w:val="00732A58"/>
    <w:rsid w:val="00733014"/>
    <w:rsid w:val="0073724B"/>
    <w:rsid w:val="00741AAA"/>
    <w:rsid w:val="007521BD"/>
    <w:rsid w:val="00753AFB"/>
    <w:rsid w:val="00753DEA"/>
    <w:rsid w:val="00754DCD"/>
    <w:rsid w:val="007556C9"/>
    <w:rsid w:val="007558AC"/>
    <w:rsid w:val="0076252C"/>
    <w:rsid w:val="00763134"/>
    <w:rsid w:val="007644B7"/>
    <w:rsid w:val="0076497F"/>
    <w:rsid w:val="0077027A"/>
    <w:rsid w:val="00774C17"/>
    <w:rsid w:val="00775DB6"/>
    <w:rsid w:val="0078015A"/>
    <w:rsid w:val="0078755D"/>
    <w:rsid w:val="00787EA0"/>
    <w:rsid w:val="007901D9"/>
    <w:rsid w:val="007903A5"/>
    <w:rsid w:val="00792F26"/>
    <w:rsid w:val="007945FE"/>
    <w:rsid w:val="007949CC"/>
    <w:rsid w:val="00794EE9"/>
    <w:rsid w:val="007957C1"/>
    <w:rsid w:val="0079654A"/>
    <w:rsid w:val="00797EBA"/>
    <w:rsid w:val="007A0CC0"/>
    <w:rsid w:val="007A0D20"/>
    <w:rsid w:val="007A0EF7"/>
    <w:rsid w:val="007A1191"/>
    <w:rsid w:val="007A2462"/>
    <w:rsid w:val="007A4F18"/>
    <w:rsid w:val="007A6A74"/>
    <w:rsid w:val="007A6C56"/>
    <w:rsid w:val="007A711C"/>
    <w:rsid w:val="007B27C3"/>
    <w:rsid w:val="007B342B"/>
    <w:rsid w:val="007B446A"/>
    <w:rsid w:val="007B4E96"/>
    <w:rsid w:val="007D1837"/>
    <w:rsid w:val="007D2081"/>
    <w:rsid w:val="007D214E"/>
    <w:rsid w:val="007D2DB4"/>
    <w:rsid w:val="007D4D1A"/>
    <w:rsid w:val="007D5B82"/>
    <w:rsid w:val="007D5D19"/>
    <w:rsid w:val="007E0CFC"/>
    <w:rsid w:val="007E191F"/>
    <w:rsid w:val="007E1C7B"/>
    <w:rsid w:val="007E1EA8"/>
    <w:rsid w:val="007E412E"/>
    <w:rsid w:val="007E4696"/>
    <w:rsid w:val="007E5CF3"/>
    <w:rsid w:val="007F2EC3"/>
    <w:rsid w:val="00801788"/>
    <w:rsid w:val="0080292F"/>
    <w:rsid w:val="00804044"/>
    <w:rsid w:val="008040E1"/>
    <w:rsid w:val="008060DE"/>
    <w:rsid w:val="0080670F"/>
    <w:rsid w:val="00807600"/>
    <w:rsid w:val="0081082F"/>
    <w:rsid w:val="008118CB"/>
    <w:rsid w:val="00814BAC"/>
    <w:rsid w:val="00815404"/>
    <w:rsid w:val="00817097"/>
    <w:rsid w:val="008174BD"/>
    <w:rsid w:val="00817A77"/>
    <w:rsid w:val="0082078E"/>
    <w:rsid w:val="00820DA8"/>
    <w:rsid w:val="00821257"/>
    <w:rsid w:val="008234C1"/>
    <w:rsid w:val="00823DE8"/>
    <w:rsid w:val="0082424E"/>
    <w:rsid w:val="008311D2"/>
    <w:rsid w:val="00831906"/>
    <w:rsid w:val="00833C16"/>
    <w:rsid w:val="00840052"/>
    <w:rsid w:val="008400B6"/>
    <w:rsid w:val="008404BB"/>
    <w:rsid w:val="00842105"/>
    <w:rsid w:val="00843CE2"/>
    <w:rsid w:val="00843F9F"/>
    <w:rsid w:val="008442A7"/>
    <w:rsid w:val="00845C61"/>
    <w:rsid w:val="008468F9"/>
    <w:rsid w:val="00852DFC"/>
    <w:rsid w:val="00853C32"/>
    <w:rsid w:val="0085575C"/>
    <w:rsid w:val="008635D0"/>
    <w:rsid w:val="00864F05"/>
    <w:rsid w:val="00865F4E"/>
    <w:rsid w:val="0086663A"/>
    <w:rsid w:val="0086690B"/>
    <w:rsid w:val="00866C4A"/>
    <w:rsid w:val="00870280"/>
    <w:rsid w:val="008704A5"/>
    <w:rsid w:val="00873F58"/>
    <w:rsid w:val="00874311"/>
    <w:rsid w:val="00874A64"/>
    <w:rsid w:val="00874F7E"/>
    <w:rsid w:val="0087531F"/>
    <w:rsid w:val="00880BB5"/>
    <w:rsid w:val="0088323B"/>
    <w:rsid w:val="00886431"/>
    <w:rsid w:val="00887566"/>
    <w:rsid w:val="0089013E"/>
    <w:rsid w:val="00890440"/>
    <w:rsid w:val="008947CC"/>
    <w:rsid w:val="008978F0"/>
    <w:rsid w:val="008A130B"/>
    <w:rsid w:val="008A339C"/>
    <w:rsid w:val="008A462F"/>
    <w:rsid w:val="008B1CEA"/>
    <w:rsid w:val="008B6529"/>
    <w:rsid w:val="008C0C22"/>
    <w:rsid w:val="008C1584"/>
    <w:rsid w:val="008C2FBD"/>
    <w:rsid w:val="008C3AF8"/>
    <w:rsid w:val="008C4EE4"/>
    <w:rsid w:val="008C6886"/>
    <w:rsid w:val="008D0149"/>
    <w:rsid w:val="008D0710"/>
    <w:rsid w:val="008D75D9"/>
    <w:rsid w:val="008E0349"/>
    <w:rsid w:val="008E1E52"/>
    <w:rsid w:val="008E2704"/>
    <w:rsid w:val="008E3592"/>
    <w:rsid w:val="008E36D2"/>
    <w:rsid w:val="008E4159"/>
    <w:rsid w:val="008E49D5"/>
    <w:rsid w:val="008E77E5"/>
    <w:rsid w:val="008E7FDD"/>
    <w:rsid w:val="008F180D"/>
    <w:rsid w:val="008F3FA5"/>
    <w:rsid w:val="008F407B"/>
    <w:rsid w:val="008F496A"/>
    <w:rsid w:val="008F5272"/>
    <w:rsid w:val="008F5837"/>
    <w:rsid w:val="008F5EA6"/>
    <w:rsid w:val="009105D0"/>
    <w:rsid w:val="009115B3"/>
    <w:rsid w:val="00914AA3"/>
    <w:rsid w:val="00916CD3"/>
    <w:rsid w:val="009179BC"/>
    <w:rsid w:val="00920961"/>
    <w:rsid w:val="009215AC"/>
    <w:rsid w:val="00922741"/>
    <w:rsid w:val="009230EE"/>
    <w:rsid w:val="00923DEE"/>
    <w:rsid w:val="00923EE4"/>
    <w:rsid w:val="009251DE"/>
    <w:rsid w:val="00931613"/>
    <w:rsid w:val="00932239"/>
    <w:rsid w:val="00933103"/>
    <w:rsid w:val="0093390F"/>
    <w:rsid w:val="00933E51"/>
    <w:rsid w:val="00934CA4"/>
    <w:rsid w:val="00934FF3"/>
    <w:rsid w:val="00936A90"/>
    <w:rsid w:val="00942415"/>
    <w:rsid w:val="00943761"/>
    <w:rsid w:val="00943C73"/>
    <w:rsid w:val="009450FA"/>
    <w:rsid w:val="009469C5"/>
    <w:rsid w:val="009472F5"/>
    <w:rsid w:val="009500EB"/>
    <w:rsid w:val="00950F45"/>
    <w:rsid w:val="00952310"/>
    <w:rsid w:val="00952FFA"/>
    <w:rsid w:val="00954EAB"/>
    <w:rsid w:val="00955A65"/>
    <w:rsid w:val="00960050"/>
    <w:rsid w:val="00960BF0"/>
    <w:rsid w:val="00961CFC"/>
    <w:rsid w:val="00966511"/>
    <w:rsid w:val="0097462E"/>
    <w:rsid w:val="0097775C"/>
    <w:rsid w:val="009802DF"/>
    <w:rsid w:val="00981123"/>
    <w:rsid w:val="00983787"/>
    <w:rsid w:val="00983B6E"/>
    <w:rsid w:val="009847DC"/>
    <w:rsid w:val="009854D1"/>
    <w:rsid w:val="00994745"/>
    <w:rsid w:val="00996EC6"/>
    <w:rsid w:val="009A1C73"/>
    <w:rsid w:val="009A2F72"/>
    <w:rsid w:val="009A4FC3"/>
    <w:rsid w:val="009A74DE"/>
    <w:rsid w:val="009B125A"/>
    <w:rsid w:val="009B25BE"/>
    <w:rsid w:val="009B4DD1"/>
    <w:rsid w:val="009B6761"/>
    <w:rsid w:val="009B6B60"/>
    <w:rsid w:val="009C0672"/>
    <w:rsid w:val="009C174D"/>
    <w:rsid w:val="009C1A81"/>
    <w:rsid w:val="009C22BF"/>
    <w:rsid w:val="009C4B1C"/>
    <w:rsid w:val="009C5C47"/>
    <w:rsid w:val="009C5D24"/>
    <w:rsid w:val="009C7BC0"/>
    <w:rsid w:val="009D0B07"/>
    <w:rsid w:val="009D345C"/>
    <w:rsid w:val="009D4E43"/>
    <w:rsid w:val="009D56C6"/>
    <w:rsid w:val="009D6D00"/>
    <w:rsid w:val="009D7CDF"/>
    <w:rsid w:val="009E048D"/>
    <w:rsid w:val="009E1472"/>
    <w:rsid w:val="009E2474"/>
    <w:rsid w:val="009E446C"/>
    <w:rsid w:val="009E7932"/>
    <w:rsid w:val="009F2692"/>
    <w:rsid w:val="009F3409"/>
    <w:rsid w:val="009F51BD"/>
    <w:rsid w:val="009F622D"/>
    <w:rsid w:val="009F70E5"/>
    <w:rsid w:val="00A0059A"/>
    <w:rsid w:val="00A034A9"/>
    <w:rsid w:val="00A04E9F"/>
    <w:rsid w:val="00A054C6"/>
    <w:rsid w:val="00A121F9"/>
    <w:rsid w:val="00A13265"/>
    <w:rsid w:val="00A1392D"/>
    <w:rsid w:val="00A17517"/>
    <w:rsid w:val="00A21227"/>
    <w:rsid w:val="00A30622"/>
    <w:rsid w:val="00A30E1E"/>
    <w:rsid w:val="00A321F5"/>
    <w:rsid w:val="00A34B8B"/>
    <w:rsid w:val="00A34BB6"/>
    <w:rsid w:val="00A34D87"/>
    <w:rsid w:val="00A37613"/>
    <w:rsid w:val="00A40B5B"/>
    <w:rsid w:val="00A41409"/>
    <w:rsid w:val="00A41E16"/>
    <w:rsid w:val="00A42730"/>
    <w:rsid w:val="00A42B2B"/>
    <w:rsid w:val="00A43278"/>
    <w:rsid w:val="00A47C5B"/>
    <w:rsid w:val="00A52086"/>
    <w:rsid w:val="00A539DA"/>
    <w:rsid w:val="00A53A2C"/>
    <w:rsid w:val="00A53DA9"/>
    <w:rsid w:val="00A53F00"/>
    <w:rsid w:val="00A56ABB"/>
    <w:rsid w:val="00A56E1D"/>
    <w:rsid w:val="00A57B19"/>
    <w:rsid w:val="00A665EA"/>
    <w:rsid w:val="00A67E81"/>
    <w:rsid w:val="00A703E1"/>
    <w:rsid w:val="00A71C3D"/>
    <w:rsid w:val="00A735C1"/>
    <w:rsid w:val="00A753D3"/>
    <w:rsid w:val="00A773CD"/>
    <w:rsid w:val="00A807FB"/>
    <w:rsid w:val="00A81788"/>
    <w:rsid w:val="00A826E1"/>
    <w:rsid w:val="00A82889"/>
    <w:rsid w:val="00A83909"/>
    <w:rsid w:val="00A83BCE"/>
    <w:rsid w:val="00A83D74"/>
    <w:rsid w:val="00A847C5"/>
    <w:rsid w:val="00A859DE"/>
    <w:rsid w:val="00A86DC4"/>
    <w:rsid w:val="00A878B6"/>
    <w:rsid w:val="00A91AD9"/>
    <w:rsid w:val="00A94CAD"/>
    <w:rsid w:val="00A95AE0"/>
    <w:rsid w:val="00A961BD"/>
    <w:rsid w:val="00AA190D"/>
    <w:rsid w:val="00AA2390"/>
    <w:rsid w:val="00AA7153"/>
    <w:rsid w:val="00AA7675"/>
    <w:rsid w:val="00AB252E"/>
    <w:rsid w:val="00AB3676"/>
    <w:rsid w:val="00AB6754"/>
    <w:rsid w:val="00AD374C"/>
    <w:rsid w:val="00AD3D9E"/>
    <w:rsid w:val="00AD4B77"/>
    <w:rsid w:val="00AD5174"/>
    <w:rsid w:val="00AD7A91"/>
    <w:rsid w:val="00AD7F2C"/>
    <w:rsid w:val="00AE034F"/>
    <w:rsid w:val="00AE2478"/>
    <w:rsid w:val="00AE30BC"/>
    <w:rsid w:val="00AE49ED"/>
    <w:rsid w:val="00AF39F7"/>
    <w:rsid w:val="00AF3D18"/>
    <w:rsid w:val="00AF60FB"/>
    <w:rsid w:val="00B02755"/>
    <w:rsid w:val="00B02FF1"/>
    <w:rsid w:val="00B03607"/>
    <w:rsid w:val="00B07D8C"/>
    <w:rsid w:val="00B10AD8"/>
    <w:rsid w:val="00B115F1"/>
    <w:rsid w:val="00B15AF4"/>
    <w:rsid w:val="00B21460"/>
    <w:rsid w:val="00B228CC"/>
    <w:rsid w:val="00B25BD6"/>
    <w:rsid w:val="00B265DF"/>
    <w:rsid w:val="00B26D48"/>
    <w:rsid w:val="00B319C7"/>
    <w:rsid w:val="00B35076"/>
    <w:rsid w:val="00B445C6"/>
    <w:rsid w:val="00B50008"/>
    <w:rsid w:val="00B513D5"/>
    <w:rsid w:val="00B52F01"/>
    <w:rsid w:val="00B53A29"/>
    <w:rsid w:val="00B53E91"/>
    <w:rsid w:val="00B54FAB"/>
    <w:rsid w:val="00B5758B"/>
    <w:rsid w:val="00B6148B"/>
    <w:rsid w:val="00B61CB3"/>
    <w:rsid w:val="00B62A6A"/>
    <w:rsid w:val="00B63DF9"/>
    <w:rsid w:val="00B650E2"/>
    <w:rsid w:val="00B67DDF"/>
    <w:rsid w:val="00B73161"/>
    <w:rsid w:val="00B80E55"/>
    <w:rsid w:val="00B81B8C"/>
    <w:rsid w:val="00B824C3"/>
    <w:rsid w:val="00B82E63"/>
    <w:rsid w:val="00B84F92"/>
    <w:rsid w:val="00B85CA6"/>
    <w:rsid w:val="00B91415"/>
    <w:rsid w:val="00B940B0"/>
    <w:rsid w:val="00B947E0"/>
    <w:rsid w:val="00B962F5"/>
    <w:rsid w:val="00BA0AB5"/>
    <w:rsid w:val="00BA1F8A"/>
    <w:rsid w:val="00BA273E"/>
    <w:rsid w:val="00BA33FF"/>
    <w:rsid w:val="00BA3A2A"/>
    <w:rsid w:val="00BA4103"/>
    <w:rsid w:val="00BA4422"/>
    <w:rsid w:val="00BA6AD3"/>
    <w:rsid w:val="00BB24A3"/>
    <w:rsid w:val="00BB4B8C"/>
    <w:rsid w:val="00BB6BE0"/>
    <w:rsid w:val="00BB6D4B"/>
    <w:rsid w:val="00BC039F"/>
    <w:rsid w:val="00BC2645"/>
    <w:rsid w:val="00BC47E6"/>
    <w:rsid w:val="00BC6DBE"/>
    <w:rsid w:val="00BD0F21"/>
    <w:rsid w:val="00BD4D4F"/>
    <w:rsid w:val="00BD5622"/>
    <w:rsid w:val="00BD7A30"/>
    <w:rsid w:val="00BE0A15"/>
    <w:rsid w:val="00BE2A50"/>
    <w:rsid w:val="00BE2E9A"/>
    <w:rsid w:val="00BE4596"/>
    <w:rsid w:val="00BE5CDE"/>
    <w:rsid w:val="00BE75B1"/>
    <w:rsid w:val="00BF17AD"/>
    <w:rsid w:val="00BF1E02"/>
    <w:rsid w:val="00BF3AFF"/>
    <w:rsid w:val="00BF4B38"/>
    <w:rsid w:val="00C00B7F"/>
    <w:rsid w:val="00C05DF4"/>
    <w:rsid w:val="00C06866"/>
    <w:rsid w:val="00C06ED1"/>
    <w:rsid w:val="00C10502"/>
    <w:rsid w:val="00C12638"/>
    <w:rsid w:val="00C1390D"/>
    <w:rsid w:val="00C13BA6"/>
    <w:rsid w:val="00C13E04"/>
    <w:rsid w:val="00C15B53"/>
    <w:rsid w:val="00C1602B"/>
    <w:rsid w:val="00C22B17"/>
    <w:rsid w:val="00C2332D"/>
    <w:rsid w:val="00C2428A"/>
    <w:rsid w:val="00C242C9"/>
    <w:rsid w:val="00C24644"/>
    <w:rsid w:val="00C25CFF"/>
    <w:rsid w:val="00C27554"/>
    <w:rsid w:val="00C40810"/>
    <w:rsid w:val="00C417EC"/>
    <w:rsid w:val="00C418FA"/>
    <w:rsid w:val="00C45962"/>
    <w:rsid w:val="00C50E39"/>
    <w:rsid w:val="00C51016"/>
    <w:rsid w:val="00C51132"/>
    <w:rsid w:val="00C51EF9"/>
    <w:rsid w:val="00C53D1E"/>
    <w:rsid w:val="00C56B23"/>
    <w:rsid w:val="00C56FA7"/>
    <w:rsid w:val="00C61821"/>
    <w:rsid w:val="00C63741"/>
    <w:rsid w:val="00C64708"/>
    <w:rsid w:val="00C70BC5"/>
    <w:rsid w:val="00C712FF"/>
    <w:rsid w:val="00C73036"/>
    <w:rsid w:val="00C73791"/>
    <w:rsid w:val="00C73970"/>
    <w:rsid w:val="00C770DE"/>
    <w:rsid w:val="00C80133"/>
    <w:rsid w:val="00C830C6"/>
    <w:rsid w:val="00C83CD2"/>
    <w:rsid w:val="00C87481"/>
    <w:rsid w:val="00C91440"/>
    <w:rsid w:val="00C938BF"/>
    <w:rsid w:val="00C942C4"/>
    <w:rsid w:val="00C959BE"/>
    <w:rsid w:val="00CA104B"/>
    <w:rsid w:val="00CA29E8"/>
    <w:rsid w:val="00CA4631"/>
    <w:rsid w:val="00CA6FFB"/>
    <w:rsid w:val="00CB2AB6"/>
    <w:rsid w:val="00CB62F1"/>
    <w:rsid w:val="00CC0A7C"/>
    <w:rsid w:val="00CE73B7"/>
    <w:rsid w:val="00CE75B2"/>
    <w:rsid w:val="00CF0405"/>
    <w:rsid w:val="00CF095A"/>
    <w:rsid w:val="00CF1FF0"/>
    <w:rsid w:val="00CF2FBA"/>
    <w:rsid w:val="00CF3187"/>
    <w:rsid w:val="00CF35B6"/>
    <w:rsid w:val="00CF4278"/>
    <w:rsid w:val="00CF5229"/>
    <w:rsid w:val="00CF57AB"/>
    <w:rsid w:val="00CF6ED1"/>
    <w:rsid w:val="00CF7BF1"/>
    <w:rsid w:val="00D0029A"/>
    <w:rsid w:val="00D043DC"/>
    <w:rsid w:val="00D051C1"/>
    <w:rsid w:val="00D07D5E"/>
    <w:rsid w:val="00D07D6B"/>
    <w:rsid w:val="00D144AB"/>
    <w:rsid w:val="00D15E8F"/>
    <w:rsid w:val="00D165E8"/>
    <w:rsid w:val="00D17688"/>
    <w:rsid w:val="00D207E2"/>
    <w:rsid w:val="00D20B27"/>
    <w:rsid w:val="00D25E69"/>
    <w:rsid w:val="00D32CE0"/>
    <w:rsid w:val="00D358B8"/>
    <w:rsid w:val="00D35C94"/>
    <w:rsid w:val="00D36113"/>
    <w:rsid w:val="00D37055"/>
    <w:rsid w:val="00D40EA4"/>
    <w:rsid w:val="00D4453D"/>
    <w:rsid w:val="00D44696"/>
    <w:rsid w:val="00D4545D"/>
    <w:rsid w:val="00D47DE9"/>
    <w:rsid w:val="00D47ED1"/>
    <w:rsid w:val="00D50147"/>
    <w:rsid w:val="00D51CC6"/>
    <w:rsid w:val="00D52B00"/>
    <w:rsid w:val="00D57B6A"/>
    <w:rsid w:val="00D60933"/>
    <w:rsid w:val="00D61808"/>
    <w:rsid w:val="00D63185"/>
    <w:rsid w:val="00D63622"/>
    <w:rsid w:val="00D647E3"/>
    <w:rsid w:val="00D65078"/>
    <w:rsid w:val="00D70BED"/>
    <w:rsid w:val="00D72305"/>
    <w:rsid w:val="00D7683B"/>
    <w:rsid w:val="00D80BFC"/>
    <w:rsid w:val="00D80CA3"/>
    <w:rsid w:val="00D8163C"/>
    <w:rsid w:val="00D82216"/>
    <w:rsid w:val="00D825DA"/>
    <w:rsid w:val="00D82F78"/>
    <w:rsid w:val="00D83F6D"/>
    <w:rsid w:val="00D8443B"/>
    <w:rsid w:val="00D84532"/>
    <w:rsid w:val="00D85E57"/>
    <w:rsid w:val="00D86383"/>
    <w:rsid w:val="00D9180F"/>
    <w:rsid w:val="00D92031"/>
    <w:rsid w:val="00D923E2"/>
    <w:rsid w:val="00D924DE"/>
    <w:rsid w:val="00D93148"/>
    <w:rsid w:val="00D933CF"/>
    <w:rsid w:val="00D97D74"/>
    <w:rsid w:val="00DA06DD"/>
    <w:rsid w:val="00DA0FB7"/>
    <w:rsid w:val="00DA15E9"/>
    <w:rsid w:val="00DA1C86"/>
    <w:rsid w:val="00DA2A50"/>
    <w:rsid w:val="00DA3CB0"/>
    <w:rsid w:val="00DA6625"/>
    <w:rsid w:val="00DA6D24"/>
    <w:rsid w:val="00DB1B28"/>
    <w:rsid w:val="00DB4441"/>
    <w:rsid w:val="00DB4C7D"/>
    <w:rsid w:val="00DB5E89"/>
    <w:rsid w:val="00DB7C62"/>
    <w:rsid w:val="00DB7FF8"/>
    <w:rsid w:val="00DC4E2E"/>
    <w:rsid w:val="00DC55E7"/>
    <w:rsid w:val="00DC7772"/>
    <w:rsid w:val="00DD0895"/>
    <w:rsid w:val="00DD0B28"/>
    <w:rsid w:val="00DD0E1C"/>
    <w:rsid w:val="00DD211A"/>
    <w:rsid w:val="00DD2452"/>
    <w:rsid w:val="00DD2A4E"/>
    <w:rsid w:val="00DD4648"/>
    <w:rsid w:val="00DD536E"/>
    <w:rsid w:val="00DD5AA2"/>
    <w:rsid w:val="00DD6775"/>
    <w:rsid w:val="00DE1598"/>
    <w:rsid w:val="00DE2F72"/>
    <w:rsid w:val="00DE3D65"/>
    <w:rsid w:val="00DE429D"/>
    <w:rsid w:val="00DE55A6"/>
    <w:rsid w:val="00DE6A0E"/>
    <w:rsid w:val="00DF0C3E"/>
    <w:rsid w:val="00DF1C5D"/>
    <w:rsid w:val="00DF4530"/>
    <w:rsid w:val="00DF526C"/>
    <w:rsid w:val="00DF54A7"/>
    <w:rsid w:val="00DF5E61"/>
    <w:rsid w:val="00DF7A33"/>
    <w:rsid w:val="00DF7CB4"/>
    <w:rsid w:val="00DF7FFD"/>
    <w:rsid w:val="00E0035D"/>
    <w:rsid w:val="00E01D04"/>
    <w:rsid w:val="00E020AA"/>
    <w:rsid w:val="00E0680C"/>
    <w:rsid w:val="00E11176"/>
    <w:rsid w:val="00E137E6"/>
    <w:rsid w:val="00E149F1"/>
    <w:rsid w:val="00E1550C"/>
    <w:rsid w:val="00E169D8"/>
    <w:rsid w:val="00E20068"/>
    <w:rsid w:val="00E20CE8"/>
    <w:rsid w:val="00E21166"/>
    <w:rsid w:val="00E255C8"/>
    <w:rsid w:val="00E311AA"/>
    <w:rsid w:val="00E33791"/>
    <w:rsid w:val="00E343C2"/>
    <w:rsid w:val="00E365AB"/>
    <w:rsid w:val="00E36875"/>
    <w:rsid w:val="00E446C3"/>
    <w:rsid w:val="00E4521C"/>
    <w:rsid w:val="00E478A4"/>
    <w:rsid w:val="00E50C24"/>
    <w:rsid w:val="00E52586"/>
    <w:rsid w:val="00E642F8"/>
    <w:rsid w:val="00E653EA"/>
    <w:rsid w:val="00E70E45"/>
    <w:rsid w:val="00E737FC"/>
    <w:rsid w:val="00E755E7"/>
    <w:rsid w:val="00E76DB2"/>
    <w:rsid w:val="00E77353"/>
    <w:rsid w:val="00E80626"/>
    <w:rsid w:val="00E811E5"/>
    <w:rsid w:val="00E85658"/>
    <w:rsid w:val="00E85B0A"/>
    <w:rsid w:val="00E92364"/>
    <w:rsid w:val="00E931F8"/>
    <w:rsid w:val="00E93B18"/>
    <w:rsid w:val="00E9409F"/>
    <w:rsid w:val="00E95A17"/>
    <w:rsid w:val="00EA2591"/>
    <w:rsid w:val="00EA3BD8"/>
    <w:rsid w:val="00EA7133"/>
    <w:rsid w:val="00EB0219"/>
    <w:rsid w:val="00EB2515"/>
    <w:rsid w:val="00EB5297"/>
    <w:rsid w:val="00EB5FE7"/>
    <w:rsid w:val="00EB71C0"/>
    <w:rsid w:val="00EC3482"/>
    <w:rsid w:val="00EC463F"/>
    <w:rsid w:val="00EC5D8E"/>
    <w:rsid w:val="00EC62B8"/>
    <w:rsid w:val="00EC71EE"/>
    <w:rsid w:val="00EC7955"/>
    <w:rsid w:val="00EC79B3"/>
    <w:rsid w:val="00ED38DA"/>
    <w:rsid w:val="00ED613A"/>
    <w:rsid w:val="00EE1D0F"/>
    <w:rsid w:val="00EE2E7A"/>
    <w:rsid w:val="00EE3F24"/>
    <w:rsid w:val="00EE49E2"/>
    <w:rsid w:val="00EE514C"/>
    <w:rsid w:val="00EF3D1E"/>
    <w:rsid w:val="00EF4AAC"/>
    <w:rsid w:val="00EF5114"/>
    <w:rsid w:val="00EF5D92"/>
    <w:rsid w:val="00EF5F26"/>
    <w:rsid w:val="00EF6DDA"/>
    <w:rsid w:val="00F02F53"/>
    <w:rsid w:val="00F03EFA"/>
    <w:rsid w:val="00F060F5"/>
    <w:rsid w:val="00F06EA5"/>
    <w:rsid w:val="00F13748"/>
    <w:rsid w:val="00F13B34"/>
    <w:rsid w:val="00F14150"/>
    <w:rsid w:val="00F17C70"/>
    <w:rsid w:val="00F200E8"/>
    <w:rsid w:val="00F209BD"/>
    <w:rsid w:val="00F21592"/>
    <w:rsid w:val="00F22294"/>
    <w:rsid w:val="00F248EC"/>
    <w:rsid w:val="00F257E1"/>
    <w:rsid w:val="00F25868"/>
    <w:rsid w:val="00F31CE4"/>
    <w:rsid w:val="00F33A5D"/>
    <w:rsid w:val="00F346E2"/>
    <w:rsid w:val="00F3611E"/>
    <w:rsid w:val="00F45BC8"/>
    <w:rsid w:val="00F45FB1"/>
    <w:rsid w:val="00F46B99"/>
    <w:rsid w:val="00F51A3E"/>
    <w:rsid w:val="00F51A47"/>
    <w:rsid w:val="00F56661"/>
    <w:rsid w:val="00F62934"/>
    <w:rsid w:val="00F63714"/>
    <w:rsid w:val="00F6484E"/>
    <w:rsid w:val="00F658A9"/>
    <w:rsid w:val="00F71AAA"/>
    <w:rsid w:val="00F75CE9"/>
    <w:rsid w:val="00F778F5"/>
    <w:rsid w:val="00F804D6"/>
    <w:rsid w:val="00F80A68"/>
    <w:rsid w:val="00F84553"/>
    <w:rsid w:val="00F858D7"/>
    <w:rsid w:val="00F94165"/>
    <w:rsid w:val="00F95E91"/>
    <w:rsid w:val="00FA0B85"/>
    <w:rsid w:val="00FA2DD7"/>
    <w:rsid w:val="00FA39C0"/>
    <w:rsid w:val="00FA442A"/>
    <w:rsid w:val="00FA730A"/>
    <w:rsid w:val="00FB209D"/>
    <w:rsid w:val="00FB3266"/>
    <w:rsid w:val="00FB3385"/>
    <w:rsid w:val="00FB7565"/>
    <w:rsid w:val="00FC10C4"/>
    <w:rsid w:val="00FC15EE"/>
    <w:rsid w:val="00FC3438"/>
    <w:rsid w:val="00FC3C9A"/>
    <w:rsid w:val="00FC4623"/>
    <w:rsid w:val="00FC71B0"/>
    <w:rsid w:val="00FC7DEB"/>
    <w:rsid w:val="00FD477F"/>
    <w:rsid w:val="00FE6046"/>
    <w:rsid w:val="00FE6091"/>
    <w:rsid w:val="00FF2CD2"/>
    <w:rsid w:val="00FF3F96"/>
    <w:rsid w:val="00FF48F6"/>
    <w:rsid w:val="00FF5CB6"/>
    <w:rsid w:val="00FF760A"/>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6085D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C15EE"/>
    <w:pPr>
      <w:spacing w:line="360" w:lineRule="auto"/>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basedOn w:val="FootnoteText"/>
    <w:next w:val="FootnoteText"/>
    <w:autoRedefine/>
    <w:qFormat/>
    <w:rsid w:val="007E1C7B"/>
    <w:pPr>
      <w:widowControl w:val="0"/>
      <w:autoSpaceDE w:val="0"/>
      <w:autoSpaceDN w:val="0"/>
      <w:adjustRightInd w:val="0"/>
      <w:spacing w:line="240" w:lineRule="auto"/>
      <w:contextualSpacing/>
    </w:pPr>
    <w:rPr>
      <w:rFonts w:eastAsiaTheme="minorHAnsi" w:cs="Courier New"/>
      <w:color w:val="3366FF"/>
      <w:sz w:val="18"/>
      <w:szCs w:val="18"/>
      <w:lang w:eastAsia="en-US"/>
    </w:rPr>
  </w:style>
  <w:style w:type="paragraph" w:styleId="FootnoteText">
    <w:name w:val="footnote text"/>
    <w:basedOn w:val="Normal"/>
    <w:link w:val="FootnoteTextChar"/>
    <w:unhideWhenUsed/>
    <w:rsid w:val="007D4D1A"/>
  </w:style>
  <w:style w:type="character" w:customStyle="1" w:styleId="FootnoteTextChar">
    <w:name w:val="Footnote Text Char"/>
    <w:basedOn w:val="DefaultParagraphFont"/>
    <w:link w:val="FootnoteText"/>
    <w:rsid w:val="007D4D1A"/>
    <w:rPr>
      <w:sz w:val="24"/>
      <w:szCs w:val="24"/>
    </w:rPr>
  </w:style>
  <w:style w:type="character" w:styleId="FootnoteReference">
    <w:name w:val="footnote reference"/>
    <w:basedOn w:val="DefaultParagraphFont"/>
    <w:unhideWhenUsed/>
    <w:rsid w:val="00B03607"/>
    <w:rPr>
      <w:vertAlign w:val="superscript"/>
    </w:rPr>
  </w:style>
  <w:style w:type="paragraph" w:styleId="EndnoteText">
    <w:name w:val="endnote text"/>
    <w:basedOn w:val="Normal"/>
    <w:link w:val="EndnoteTextChar"/>
    <w:uiPriority w:val="99"/>
    <w:unhideWhenUsed/>
    <w:rsid w:val="00C53D1E"/>
  </w:style>
  <w:style w:type="character" w:customStyle="1" w:styleId="EndnoteTextChar">
    <w:name w:val="Endnote Text Char"/>
    <w:basedOn w:val="DefaultParagraphFont"/>
    <w:link w:val="EndnoteText"/>
    <w:uiPriority w:val="99"/>
    <w:rsid w:val="00C53D1E"/>
    <w:rPr>
      <w:sz w:val="24"/>
      <w:szCs w:val="24"/>
    </w:rPr>
  </w:style>
  <w:style w:type="character" w:styleId="EndnoteReference">
    <w:name w:val="endnote reference"/>
    <w:basedOn w:val="DefaultParagraphFont"/>
    <w:uiPriority w:val="99"/>
    <w:unhideWhenUsed/>
    <w:rsid w:val="00C53D1E"/>
    <w:rPr>
      <w:vertAlign w:val="superscript"/>
    </w:rPr>
  </w:style>
  <w:style w:type="paragraph" w:styleId="ListParagraph">
    <w:name w:val="List Paragraph"/>
    <w:basedOn w:val="Normal"/>
    <w:uiPriority w:val="34"/>
    <w:qFormat/>
    <w:rsid w:val="00B61CB3"/>
    <w:pPr>
      <w:ind w:left="720"/>
      <w:contextualSpacing/>
    </w:pPr>
  </w:style>
  <w:style w:type="character" w:styleId="Hyperlink">
    <w:name w:val="Hyperlink"/>
    <w:basedOn w:val="DefaultParagraphFont"/>
    <w:uiPriority w:val="99"/>
    <w:unhideWhenUsed/>
    <w:rsid w:val="008A339C"/>
    <w:rPr>
      <w:color w:val="0000FF" w:themeColor="hyperlink"/>
      <w:u w:val="single"/>
    </w:rPr>
  </w:style>
  <w:style w:type="paragraph" w:styleId="Header">
    <w:name w:val="header"/>
    <w:basedOn w:val="Normal"/>
    <w:link w:val="HeaderChar"/>
    <w:uiPriority w:val="99"/>
    <w:unhideWhenUsed/>
    <w:rsid w:val="006106E2"/>
    <w:pPr>
      <w:tabs>
        <w:tab w:val="center" w:pos="4320"/>
        <w:tab w:val="right" w:pos="8640"/>
      </w:tabs>
    </w:pPr>
  </w:style>
  <w:style w:type="character" w:customStyle="1" w:styleId="HeaderChar">
    <w:name w:val="Header Char"/>
    <w:basedOn w:val="DefaultParagraphFont"/>
    <w:link w:val="Header"/>
    <w:uiPriority w:val="99"/>
    <w:rsid w:val="006106E2"/>
    <w:rPr>
      <w:sz w:val="24"/>
      <w:szCs w:val="24"/>
    </w:rPr>
  </w:style>
  <w:style w:type="paragraph" w:styleId="Footer">
    <w:name w:val="footer"/>
    <w:basedOn w:val="Normal"/>
    <w:link w:val="FooterChar"/>
    <w:uiPriority w:val="99"/>
    <w:unhideWhenUsed/>
    <w:rsid w:val="006106E2"/>
    <w:pPr>
      <w:tabs>
        <w:tab w:val="center" w:pos="4320"/>
        <w:tab w:val="right" w:pos="8640"/>
      </w:tabs>
    </w:pPr>
  </w:style>
  <w:style w:type="character" w:customStyle="1" w:styleId="FooterChar">
    <w:name w:val="Footer Char"/>
    <w:basedOn w:val="DefaultParagraphFont"/>
    <w:link w:val="Footer"/>
    <w:uiPriority w:val="99"/>
    <w:rsid w:val="006106E2"/>
    <w:rPr>
      <w:sz w:val="24"/>
      <w:szCs w:val="24"/>
    </w:rPr>
  </w:style>
  <w:style w:type="character" w:styleId="PageNumber">
    <w:name w:val="page number"/>
    <w:basedOn w:val="DefaultParagraphFont"/>
    <w:uiPriority w:val="99"/>
    <w:semiHidden/>
    <w:unhideWhenUsed/>
    <w:rsid w:val="00EA7133"/>
  </w:style>
  <w:style w:type="character" w:styleId="FollowedHyperlink">
    <w:name w:val="FollowedHyperlink"/>
    <w:basedOn w:val="DefaultParagraphFont"/>
    <w:uiPriority w:val="99"/>
    <w:semiHidden/>
    <w:unhideWhenUsed/>
    <w:rsid w:val="009C7BC0"/>
    <w:rPr>
      <w:color w:val="800080" w:themeColor="followedHyperlink"/>
      <w:u w:val="single"/>
    </w:rPr>
  </w:style>
  <w:style w:type="paragraph" w:styleId="BodyText">
    <w:name w:val="Body Text"/>
    <w:basedOn w:val="Normal"/>
    <w:link w:val="BodyTextChar"/>
    <w:uiPriority w:val="99"/>
    <w:semiHidden/>
    <w:unhideWhenUsed/>
    <w:rsid w:val="00FC15EE"/>
    <w:pPr>
      <w:spacing w:after="120"/>
    </w:pPr>
  </w:style>
  <w:style w:type="character" w:customStyle="1" w:styleId="BodyTextChar">
    <w:name w:val="Body Text Char"/>
    <w:basedOn w:val="DefaultParagraphFont"/>
    <w:link w:val="BodyText"/>
    <w:uiPriority w:val="99"/>
    <w:semiHidden/>
    <w:rsid w:val="00FC15EE"/>
    <w:rPr>
      <w:rFonts w:ascii="Calibri" w:hAnsi="Calibri"/>
      <w:szCs w:val="24"/>
    </w:rPr>
  </w:style>
  <w:style w:type="paragraph" w:styleId="BodyTextFirstIndent">
    <w:name w:val="Body Text First Indent"/>
    <w:basedOn w:val="BodyText"/>
    <w:link w:val="BodyTextFirstIndentChar"/>
    <w:uiPriority w:val="99"/>
    <w:semiHidden/>
    <w:unhideWhenUsed/>
    <w:rsid w:val="00FC15EE"/>
    <w:pPr>
      <w:spacing w:after="0"/>
      <w:ind w:firstLine="360"/>
    </w:pPr>
  </w:style>
  <w:style w:type="character" w:customStyle="1" w:styleId="BodyTextFirstIndentChar">
    <w:name w:val="Body Text First Indent Char"/>
    <w:basedOn w:val="BodyTextChar"/>
    <w:link w:val="BodyTextFirstIndent"/>
    <w:uiPriority w:val="99"/>
    <w:semiHidden/>
    <w:rsid w:val="00FC15EE"/>
    <w:rPr>
      <w:rFonts w:ascii="Calibri" w:hAnsi="Calibri"/>
      <w:szCs w:val="24"/>
    </w:rPr>
  </w:style>
  <w:style w:type="paragraph" w:customStyle="1" w:styleId="Quotation">
    <w:name w:val="Quotation"/>
    <w:basedOn w:val="Normal"/>
    <w:next w:val="Normal"/>
    <w:qFormat/>
    <w:rsid w:val="00D52B00"/>
    <w:pPr>
      <w:spacing w:line="240" w:lineRule="auto"/>
      <w:ind w:left="720"/>
    </w:pPr>
    <w:rPr>
      <w:sz w:val="18"/>
      <w:szCs w:val="20"/>
    </w:rPr>
  </w:style>
  <w:style w:type="paragraph" w:styleId="BalloonText">
    <w:name w:val="Balloon Text"/>
    <w:basedOn w:val="Normal"/>
    <w:link w:val="BalloonTextChar"/>
    <w:uiPriority w:val="99"/>
    <w:semiHidden/>
    <w:unhideWhenUsed/>
    <w:rsid w:val="00B02FF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2FF1"/>
    <w:rPr>
      <w:rFonts w:ascii="Lucida Grande" w:hAnsi="Lucida Grande" w:cs="Lucida Grande"/>
      <w:sz w:val="18"/>
      <w:szCs w:val="18"/>
    </w:rPr>
  </w:style>
  <w:style w:type="character" w:styleId="CommentReference">
    <w:name w:val="annotation reference"/>
    <w:basedOn w:val="DefaultParagraphFont"/>
    <w:uiPriority w:val="99"/>
    <w:semiHidden/>
    <w:unhideWhenUsed/>
    <w:rsid w:val="00A91AD9"/>
    <w:rPr>
      <w:sz w:val="18"/>
      <w:szCs w:val="18"/>
    </w:rPr>
  </w:style>
  <w:style w:type="paragraph" w:styleId="CommentText">
    <w:name w:val="annotation text"/>
    <w:basedOn w:val="Normal"/>
    <w:link w:val="CommentTextChar"/>
    <w:uiPriority w:val="99"/>
    <w:semiHidden/>
    <w:unhideWhenUsed/>
    <w:rsid w:val="00A91AD9"/>
    <w:pPr>
      <w:spacing w:line="240" w:lineRule="auto"/>
    </w:pPr>
    <w:rPr>
      <w:sz w:val="24"/>
    </w:rPr>
  </w:style>
  <w:style w:type="character" w:customStyle="1" w:styleId="CommentTextChar">
    <w:name w:val="Comment Text Char"/>
    <w:basedOn w:val="DefaultParagraphFont"/>
    <w:link w:val="CommentText"/>
    <w:uiPriority w:val="99"/>
    <w:semiHidden/>
    <w:rsid w:val="00A91AD9"/>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A91AD9"/>
    <w:rPr>
      <w:b/>
      <w:bCs/>
      <w:sz w:val="20"/>
      <w:szCs w:val="20"/>
    </w:rPr>
  </w:style>
  <w:style w:type="character" w:customStyle="1" w:styleId="CommentSubjectChar">
    <w:name w:val="Comment Subject Char"/>
    <w:basedOn w:val="CommentTextChar"/>
    <w:link w:val="CommentSubject"/>
    <w:uiPriority w:val="99"/>
    <w:semiHidden/>
    <w:rsid w:val="00A91AD9"/>
    <w:rPr>
      <w:rFonts w:ascii="Calibri" w:hAnsi="Calibri"/>
      <w:b/>
      <w:bCs/>
      <w:sz w:val="24"/>
      <w:szCs w:val="24"/>
    </w:rPr>
  </w:style>
  <w:style w:type="paragraph" w:styleId="Revision">
    <w:name w:val="Revision"/>
    <w:hidden/>
    <w:uiPriority w:val="99"/>
    <w:semiHidden/>
    <w:rsid w:val="007E1C7B"/>
    <w:rPr>
      <w:rFonts w:ascii="Calibri" w:hAnsi="Calibri"/>
      <w:szCs w:val="24"/>
    </w:rPr>
  </w:style>
  <w:style w:type="character" w:customStyle="1" w:styleId="apple-converted-space">
    <w:name w:val="apple-converted-space"/>
    <w:basedOn w:val="DefaultParagraphFont"/>
    <w:rsid w:val="004F4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51488">
      <w:bodyDiv w:val="1"/>
      <w:marLeft w:val="0"/>
      <w:marRight w:val="0"/>
      <w:marTop w:val="0"/>
      <w:marBottom w:val="0"/>
      <w:divBdr>
        <w:top w:val="none" w:sz="0" w:space="0" w:color="auto"/>
        <w:left w:val="none" w:sz="0" w:space="0" w:color="auto"/>
        <w:bottom w:val="none" w:sz="0" w:space="0" w:color="auto"/>
        <w:right w:val="none" w:sz="0" w:space="0" w:color="auto"/>
      </w:divBdr>
    </w:div>
    <w:div w:id="558635564">
      <w:bodyDiv w:val="1"/>
      <w:marLeft w:val="0"/>
      <w:marRight w:val="0"/>
      <w:marTop w:val="0"/>
      <w:marBottom w:val="0"/>
      <w:divBdr>
        <w:top w:val="none" w:sz="0" w:space="0" w:color="auto"/>
        <w:left w:val="none" w:sz="0" w:space="0" w:color="auto"/>
        <w:bottom w:val="none" w:sz="0" w:space="0" w:color="auto"/>
        <w:right w:val="none" w:sz="0" w:space="0" w:color="auto"/>
      </w:divBdr>
    </w:div>
    <w:div w:id="583224499">
      <w:bodyDiv w:val="1"/>
      <w:marLeft w:val="0"/>
      <w:marRight w:val="0"/>
      <w:marTop w:val="0"/>
      <w:marBottom w:val="0"/>
      <w:divBdr>
        <w:top w:val="none" w:sz="0" w:space="0" w:color="auto"/>
        <w:left w:val="none" w:sz="0" w:space="0" w:color="auto"/>
        <w:bottom w:val="none" w:sz="0" w:space="0" w:color="auto"/>
        <w:right w:val="none" w:sz="0" w:space="0" w:color="auto"/>
      </w:divBdr>
    </w:div>
    <w:div w:id="755785808">
      <w:bodyDiv w:val="1"/>
      <w:marLeft w:val="0"/>
      <w:marRight w:val="0"/>
      <w:marTop w:val="0"/>
      <w:marBottom w:val="0"/>
      <w:divBdr>
        <w:top w:val="none" w:sz="0" w:space="0" w:color="auto"/>
        <w:left w:val="none" w:sz="0" w:space="0" w:color="auto"/>
        <w:bottom w:val="none" w:sz="0" w:space="0" w:color="auto"/>
        <w:right w:val="none" w:sz="0" w:space="0" w:color="auto"/>
      </w:divBdr>
    </w:div>
    <w:div w:id="1206527438">
      <w:bodyDiv w:val="1"/>
      <w:marLeft w:val="0"/>
      <w:marRight w:val="0"/>
      <w:marTop w:val="0"/>
      <w:marBottom w:val="0"/>
      <w:divBdr>
        <w:top w:val="none" w:sz="0" w:space="0" w:color="auto"/>
        <w:left w:val="none" w:sz="0" w:space="0" w:color="auto"/>
        <w:bottom w:val="none" w:sz="0" w:space="0" w:color="auto"/>
        <w:right w:val="none" w:sz="0" w:space="0" w:color="auto"/>
      </w:divBdr>
    </w:div>
    <w:div w:id="1265958997">
      <w:bodyDiv w:val="1"/>
      <w:marLeft w:val="0"/>
      <w:marRight w:val="0"/>
      <w:marTop w:val="0"/>
      <w:marBottom w:val="0"/>
      <w:divBdr>
        <w:top w:val="none" w:sz="0" w:space="0" w:color="auto"/>
        <w:left w:val="none" w:sz="0" w:space="0" w:color="auto"/>
        <w:bottom w:val="none" w:sz="0" w:space="0" w:color="auto"/>
        <w:right w:val="none" w:sz="0" w:space="0" w:color="auto"/>
      </w:divBdr>
    </w:div>
    <w:div w:id="1644263804">
      <w:bodyDiv w:val="1"/>
      <w:marLeft w:val="0"/>
      <w:marRight w:val="0"/>
      <w:marTop w:val="0"/>
      <w:marBottom w:val="0"/>
      <w:divBdr>
        <w:top w:val="none" w:sz="0" w:space="0" w:color="auto"/>
        <w:left w:val="none" w:sz="0" w:space="0" w:color="auto"/>
        <w:bottom w:val="none" w:sz="0" w:space="0" w:color="auto"/>
        <w:right w:val="none" w:sz="0" w:space="0" w:color="auto"/>
      </w:divBdr>
    </w:div>
    <w:div w:id="1927765666">
      <w:bodyDiv w:val="1"/>
      <w:marLeft w:val="0"/>
      <w:marRight w:val="0"/>
      <w:marTop w:val="0"/>
      <w:marBottom w:val="0"/>
      <w:divBdr>
        <w:top w:val="none" w:sz="0" w:space="0" w:color="auto"/>
        <w:left w:val="none" w:sz="0" w:space="0" w:color="auto"/>
        <w:bottom w:val="none" w:sz="0" w:space="0" w:color="auto"/>
        <w:right w:val="none" w:sz="0" w:space="0" w:color="auto"/>
      </w:divBdr>
    </w:div>
    <w:div w:id="19628040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sac.sagepub.com/cgi/content/abstract/9/2/180" TargetMode="External"/><Relationship Id="rId2" Type="http://schemas.openxmlformats.org/officeDocument/2006/relationships/hyperlink" Target="http://www.uncubemagazine.com/blog/13753251" TargetMode="External"/><Relationship Id="rId3" Type="http://schemas.openxmlformats.org/officeDocument/2006/relationships/hyperlink" Target="http://www.jantzen.com/timeli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A40C9-4CD6-F542-B9CD-A30BE4F7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6459</Words>
  <Characters>33267</Characters>
  <Application>Microsoft Macintosh Word</Application>
  <DocSecurity>0</DocSecurity>
  <Lines>536</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Moon</dc:creator>
  <cp:keywords/>
  <dc:description/>
  <cp:lastModifiedBy>Amanda Reeser Lawrence</cp:lastModifiedBy>
  <cp:revision>2</cp:revision>
  <cp:lastPrinted>2017-11-04T17:54:00Z</cp:lastPrinted>
  <dcterms:created xsi:type="dcterms:W3CDTF">2018-03-18T03:02:00Z</dcterms:created>
  <dcterms:modified xsi:type="dcterms:W3CDTF">2018-03-18T03:02:00Z</dcterms:modified>
</cp:coreProperties>
</file>